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15175" w14:textId="6BEFF743" w:rsidR="00777DD9" w:rsidRDefault="00FA299B" w:rsidP="007201D3">
      <w:pPr>
        <w:pStyle w:val="BodyText"/>
        <w:sectPr w:rsidR="00777DD9" w:rsidSect="009C43ED">
          <w:headerReference w:type="default" r:id="rId8"/>
          <w:footerReference w:type="default" r:id="rId9"/>
          <w:pgSz w:w="12240" w:h="15840"/>
          <w:pgMar w:top="4410" w:right="720" w:bottom="1800" w:left="720" w:header="720" w:footer="720" w:gutter="0"/>
          <w:cols w:space="720"/>
          <w:docGrid w:linePitch="360"/>
        </w:sectPr>
      </w:pPr>
      <w:bookmarkStart w:id="0" w:name="_GoBack"/>
      <w:bookmarkEnd w:id="0"/>
      <w:r>
        <w:rPr>
          <w:noProof/>
        </w:rPr>
        <w:drawing>
          <wp:anchor distT="0" distB="0" distL="114300" distR="114300" simplePos="0" relativeHeight="251658240" behindDoc="0" locked="1" layoutInCell="1" allowOverlap="1" wp14:anchorId="2754A5A9" wp14:editId="662671FD">
            <wp:simplePos x="0" y="0"/>
            <wp:positionH relativeFrom="margin">
              <wp:posOffset>5181600</wp:posOffset>
            </wp:positionH>
            <wp:positionV relativeFrom="margin">
              <wp:posOffset>5715000</wp:posOffset>
            </wp:positionV>
            <wp:extent cx="1645920" cy="1120140"/>
            <wp:effectExtent l="0" t="0" r="0" b="0"/>
            <wp:wrapNone/>
            <wp:docPr id="7" name="Picture 6"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ker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11201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56418B0" wp14:editId="61CA901E">
                <wp:simplePos x="0" y="0"/>
                <wp:positionH relativeFrom="column">
                  <wp:posOffset>-74930</wp:posOffset>
                </wp:positionH>
                <wp:positionV relativeFrom="paragraph">
                  <wp:posOffset>-20320</wp:posOffset>
                </wp:positionV>
                <wp:extent cx="4480560" cy="410845"/>
                <wp:effectExtent l="1270" t="0" r="444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056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9C575" w14:textId="77777777" w:rsidR="0086791A" w:rsidRPr="0086791A" w:rsidRDefault="00FA299B" w:rsidP="0086791A">
                            <w:pPr>
                              <w:pStyle w:val="MergeField"/>
                              <w:rPr>
                                <w:rStyle w:val="Strong"/>
                                <w:color w:val="76A05E"/>
                              </w:rPr>
                            </w:pPr>
                            <w:r w:rsidRPr="0086791A">
                              <w:rPr>
                                <w:rStyle w:val="Strong"/>
                                <w:color w:val="76A05E"/>
                              </w:rPr>
                              <w:t>Provided by Corkill Insurance Agency, Inc.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756418B0" id="_x0000_t202" coordsize="21600,21600" o:spt="202" path="m,l,21600r21600,l21600,xe">
                <v:stroke joinstyle="miter"/>
                <v:path gradientshapeok="t" o:connecttype="rect"/>
              </v:shapetype>
              <v:shape id="Text Box 1" o:spid="_x0000_s1026" type="#_x0000_t202" style="position:absolute;left:0;text-align:left;margin-left:-5.9pt;margin-top:-1.6pt;width:352.8pt;height:3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9yowIAAKI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" filled="f" stroked="f" strokeweight=".5pt">
                <v:path arrowok="t"/>
                <v:textbox style="mso-fit-shape-to-text:t">
                  <w:txbxContent>
                    <w:p w14:paraId="3BA9C575" w14:textId="77777777" w:rsidR="0086791A" w:rsidRPr="0086791A" w:rsidRDefault="00FA299B" w:rsidP="0086791A">
                      <w:pPr>
                        <w:pStyle w:val="MergeField"/>
                        <w:rPr>
                          <w:rStyle w:val="Strong"/>
                          <w:color w:val="76A05E"/>
                        </w:rPr>
                      </w:pPr>
                      <w:r w:rsidRPr="0086791A">
                        <w:rPr>
                          <w:rStyle w:val="Strong"/>
                          <w:color w:val="76A05E"/>
                        </w:rPr>
                        <w:t>Provided by Corkill Insurance Agency, Inc.</w:t>
                      </w:r>
                    </w:p>
                  </w:txbxContent>
                </v:textbox>
              </v:shape>
            </w:pict>
          </mc:Fallback>
        </mc:AlternateContent>
      </w:r>
    </w:p>
    <w:p w14:paraId="04BEEFB7" w14:textId="65C826A3" w:rsidR="00A22068" w:rsidRPr="0086791A" w:rsidRDefault="00FA299B" w:rsidP="0086791A">
      <w:pPr>
        <w:pStyle w:val="Title"/>
      </w:pPr>
      <w:r>
        <mc:AlternateContent>
          <mc:Choice Requires="wps">
            <w:drawing>
              <wp:anchor distT="0" distB="822960" distL="365760" distR="182880" simplePos="0" relativeHeight="251661312" behindDoc="1" locked="0" layoutInCell="1" allowOverlap="1" wp14:anchorId="1C13FF0B" wp14:editId="7F43C421">
                <wp:simplePos x="0" y="0"/>
                <wp:positionH relativeFrom="column">
                  <wp:posOffset>4495800</wp:posOffset>
                </wp:positionH>
                <wp:positionV relativeFrom="page">
                  <wp:posOffset>3080385</wp:posOffset>
                </wp:positionV>
                <wp:extent cx="2423160" cy="5312410"/>
                <wp:effectExtent l="0" t="3810" r="0" b="0"/>
                <wp:wrapSquare wrapText="bothSides"/>
                <wp:docPr id="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3160" cy="531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F474158" w14:textId="0B56235B" w:rsidR="00777DD9" w:rsidRDefault="00FA299B" w:rsidP="000D733F">
                            <w:r>
                              <w:rPr>
                                <w:noProof/>
                                <w:vertAlign w:val="subscript"/>
                              </w:rPr>
                              <w:drawing>
                                <wp:inline distT="0" distB="0" distL="0" distR="0" wp14:anchorId="32031D83" wp14:editId="2F487FA8">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0BA293EE" w14:textId="77777777" w:rsidR="00777DD9" w:rsidRPr="0091138D" w:rsidRDefault="00FA299B" w:rsidP="0091138D">
                            <w:pPr>
                              <w:pStyle w:val="H-Heading"/>
                            </w:pPr>
                            <w:r>
                              <w:t>Employer Obligations</w:t>
                            </w:r>
                          </w:p>
                          <w:p w14:paraId="7711C575" w14:textId="77777777" w:rsidR="0042186B" w:rsidRPr="0042186B" w:rsidRDefault="00FA299B" w:rsidP="0042186B">
                            <w:pPr>
                              <w:pStyle w:val="H-BulletList"/>
                            </w:pPr>
                            <w:r w:rsidRPr="0042186B">
                              <w:t>Verify operators are qualified to operate affected equipment.</w:t>
                            </w:r>
                          </w:p>
                          <w:p w14:paraId="7FD11BF3" w14:textId="77777777" w:rsidR="0042186B" w:rsidRPr="0042186B" w:rsidRDefault="00FA299B" w:rsidP="0042186B">
                            <w:pPr>
                              <w:pStyle w:val="H-BulletList"/>
                            </w:pPr>
                            <w:r w:rsidRPr="0042186B">
                              <w:t>Determine whether the ground can support equipment and loads.</w:t>
                            </w:r>
                          </w:p>
                          <w:p w14:paraId="142A42A0" w14:textId="77777777" w:rsidR="0042186B" w:rsidRPr="0042186B" w:rsidRDefault="00FA299B" w:rsidP="0042186B">
                            <w:pPr>
                              <w:pStyle w:val="H-BulletList"/>
                            </w:pPr>
                            <w:r w:rsidRPr="0042186B">
                              <w:t>Assess work zone hazards that would affect the safe operation of hoisting equipment.</w:t>
                            </w:r>
                          </w:p>
                          <w:p w14:paraId="344AA5A7" w14:textId="77777777" w:rsidR="0042186B" w:rsidRPr="0042186B" w:rsidRDefault="00FA299B" w:rsidP="0042186B">
                            <w:pPr>
                              <w:pStyle w:val="H-BulletList"/>
                            </w:pPr>
                            <w:r w:rsidRPr="0042186B">
                              <w:t>Conduct safety inspections of affected equipment.</w:t>
                            </w:r>
                          </w:p>
                          <w:p w14:paraId="2EC1D3FB" w14:textId="77777777" w:rsidR="0042186B" w:rsidRPr="0042186B" w:rsidRDefault="00FA299B" w:rsidP="0042186B">
                            <w:pPr>
                              <w:pStyle w:val="H-BulletList"/>
                            </w:pPr>
                            <w:r w:rsidRPr="0042186B">
                              <w:t>Provide hazard recognition training for employees.</w:t>
                            </w:r>
                          </w:p>
                          <w:p w14:paraId="5CEE15A1" w14:textId="77777777" w:rsidR="00B861FB" w:rsidRPr="000D733F" w:rsidRDefault="00FA299B" w:rsidP="00B861FB">
                            <w:pPr>
                              <w:pStyle w:val="H-Heading"/>
                            </w:pPr>
                            <w:r>
                              <w:t>IMPORTANT Dates</w:t>
                            </w:r>
                          </w:p>
                          <w:p w14:paraId="34C0AC56" w14:textId="77777777" w:rsidR="00B861FB" w:rsidRDefault="00FA299B" w:rsidP="00B861FB">
                            <w:pPr>
                              <w:pStyle w:val="H-BulletList"/>
                            </w:pPr>
                            <w:r>
                              <w:t>Nov. 8, 2010 – Cranes and derricks standard (CDS) went into effect</w:t>
                            </w:r>
                          </w:p>
                          <w:p w14:paraId="5EA039D4" w14:textId="77777777" w:rsidR="00B861FB" w:rsidRDefault="00FA299B" w:rsidP="00B861FB">
                            <w:pPr>
                              <w:pStyle w:val="H-BulletList"/>
                            </w:pPr>
                            <w:r>
                              <w:t>May 23, 2013 – CDS went into effect for demolition and underground const</w:t>
                            </w:r>
                            <w:r>
                              <w:t xml:space="preserve">ruction </w:t>
                            </w:r>
                          </w:p>
                          <w:p w14:paraId="43D76B02" w14:textId="77777777" w:rsidR="00B861FB" w:rsidRPr="00F00FE0" w:rsidRDefault="00FA299B" w:rsidP="00B861FB">
                            <w:pPr>
                              <w:pStyle w:val="H-BulletList"/>
                              <w:spacing w:before="0" w:after="0"/>
                              <w:rPr>
                                <w:sz w:val="6"/>
                              </w:rPr>
                            </w:pPr>
                            <w:r>
                              <w:t>Nov. 10, 2018 – Deadline for crane operators to be certified.</w:t>
                            </w:r>
                          </w:p>
                          <w:p w14:paraId="3A310245" w14:textId="77777777" w:rsidR="0042186B" w:rsidRPr="0042186B" w:rsidRDefault="0042186B" w:rsidP="00B861FB">
                            <w:pPr>
                              <w:pStyle w:val="H-Heading"/>
                              <w:rPr>
                                <w:sz w:val="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3FF0B" id="Text Box 122" o:spid="_x0000_s1027" type="#_x0000_t202" style="position:absolute;margin-left:354pt;margin-top:242.55pt;width:190.8pt;height:418.3pt;z-index:-251655168;visibility:visible;mso-wrap-style:square;mso-width-percent:0;mso-height-percent:0;mso-wrap-distance-left:28.8pt;mso-wrap-distance-top:0;mso-wrap-distance-right:14.4pt;mso-wrap-distance-bottom:64.8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" filled="f" stroked="f" strokeweight=".5pt">
                <v:path arrowok="t"/>
                <v:textbox>
                  <w:txbxContent>
                    <w:p w14:paraId="1F474158" w14:textId="0B56235B" w:rsidR="00777DD9" w:rsidRDefault="00FA299B" w:rsidP="000D733F">
                      <w:r>
                        <w:rPr>
                          <w:noProof/>
                          <w:vertAlign w:val="subscript"/>
                        </w:rPr>
                        <w:drawing>
                          <wp:inline distT="0" distB="0" distL="0" distR="0" wp14:anchorId="32031D83" wp14:editId="2F487FA8">
                            <wp:extent cx="2228850" cy="371475"/>
                            <wp:effectExtent l="0" t="0" r="0" b="0"/>
                            <wp:docPr id="3" name="Picture 4" descr="Highlight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lights_G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371475"/>
                                    </a:xfrm>
                                    <a:prstGeom prst="rect">
                                      <a:avLst/>
                                    </a:prstGeom>
                                    <a:noFill/>
                                    <a:ln>
                                      <a:noFill/>
                                    </a:ln>
                                  </pic:spPr>
                                </pic:pic>
                              </a:graphicData>
                            </a:graphic>
                          </wp:inline>
                        </w:drawing>
                      </w:r>
                    </w:p>
                    <w:p w14:paraId="0BA293EE" w14:textId="77777777" w:rsidR="00777DD9" w:rsidRPr="0091138D" w:rsidRDefault="00FA299B" w:rsidP="0091138D">
                      <w:pPr>
                        <w:pStyle w:val="H-Heading"/>
                      </w:pPr>
                      <w:r>
                        <w:t>Employer Obligations</w:t>
                      </w:r>
                    </w:p>
                    <w:p w14:paraId="7711C575" w14:textId="77777777" w:rsidR="0042186B" w:rsidRPr="0042186B" w:rsidRDefault="00FA299B" w:rsidP="0042186B">
                      <w:pPr>
                        <w:pStyle w:val="H-BulletList"/>
                      </w:pPr>
                      <w:r w:rsidRPr="0042186B">
                        <w:t>Verify operators are qualified to operate affected equipment.</w:t>
                      </w:r>
                    </w:p>
                    <w:p w14:paraId="7FD11BF3" w14:textId="77777777" w:rsidR="0042186B" w:rsidRPr="0042186B" w:rsidRDefault="00FA299B" w:rsidP="0042186B">
                      <w:pPr>
                        <w:pStyle w:val="H-BulletList"/>
                      </w:pPr>
                      <w:r w:rsidRPr="0042186B">
                        <w:t>Determine whether the ground can support equipment and loads.</w:t>
                      </w:r>
                    </w:p>
                    <w:p w14:paraId="142A42A0" w14:textId="77777777" w:rsidR="0042186B" w:rsidRPr="0042186B" w:rsidRDefault="00FA299B" w:rsidP="0042186B">
                      <w:pPr>
                        <w:pStyle w:val="H-BulletList"/>
                      </w:pPr>
                      <w:r w:rsidRPr="0042186B">
                        <w:t>Assess work zone hazards that would affect the safe operation of hoisting equipment.</w:t>
                      </w:r>
                    </w:p>
                    <w:p w14:paraId="344AA5A7" w14:textId="77777777" w:rsidR="0042186B" w:rsidRPr="0042186B" w:rsidRDefault="00FA299B" w:rsidP="0042186B">
                      <w:pPr>
                        <w:pStyle w:val="H-BulletList"/>
                      </w:pPr>
                      <w:r w:rsidRPr="0042186B">
                        <w:t>Conduct safety inspections of affected equipment.</w:t>
                      </w:r>
                    </w:p>
                    <w:p w14:paraId="2EC1D3FB" w14:textId="77777777" w:rsidR="0042186B" w:rsidRPr="0042186B" w:rsidRDefault="00FA299B" w:rsidP="0042186B">
                      <w:pPr>
                        <w:pStyle w:val="H-BulletList"/>
                      </w:pPr>
                      <w:r w:rsidRPr="0042186B">
                        <w:t>Provide hazard recognition training for employees.</w:t>
                      </w:r>
                    </w:p>
                    <w:p w14:paraId="5CEE15A1" w14:textId="77777777" w:rsidR="00B861FB" w:rsidRPr="000D733F" w:rsidRDefault="00FA299B" w:rsidP="00B861FB">
                      <w:pPr>
                        <w:pStyle w:val="H-Heading"/>
                      </w:pPr>
                      <w:r>
                        <w:t>IMPORTANT Dates</w:t>
                      </w:r>
                    </w:p>
                    <w:p w14:paraId="34C0AC56" w14:textId="77777777" w:rsidR="00B861FB" w:rsidRDefault="00FA299B" w:rsidP="00B861FB">
                      <w:pPr>
                        <w:pStyle w:val="H-BulletList"/>
                      </w:pPr>
                      <w:r>
                        <w:t>Nov. 8, 2010 – Cranes and derricks standard (CDS) went into effect</w:t>
                      </w:r>
                    </w:p>
                    <w:p w14:paraId="5EA039D4" w14:textId="77777777" w:rsidR="00B861FB" w:rsidRDefault="00FA299B" w:rsidP="00B861FB">
                      <w:pPr>
                        <w:pStyle w:val="H-BulletList"/>
                      </w:pPr>
                      <w:r>
                        <w:t>May 23, 2013 – CDS went into effect for demolition and underground const</w:t>
                      </w:r>
                      <w:r>
                        <w:t xml:space="preserve">ruction </w:t>
                      </w:r>
                    </w:p>
                    <w:p w14:paraId="43D76B02" w14:textId="77777777" w:rsidR="00B861FB" w:rsidRPr="00F00FE0" w:rsidRDefault="00FA299B" w:rsidP="00B861FB">
                      <w:pPr>
                        <w:pStyle w:val="H-BulletList"/>
                        <w:spacing w:before="0" w:after="0"/>
                        <w:rPr>
                          <w:sz w:val="6"/>
                        </w:rPr>
                      </w:pPr>
                      <w:r>
                        <w:t>Nov. 10, 2018 – Deadline for crane operators to be certified.</w:t>
                      </w:r>
                    </w:p>
                    <w:p w14:paraId="3A310245" w14:textId="77777777" w:rsidR="0042186B" w:rsidRPr="0042186B" w:rsidRDefault="0042186B" w:rsidP="00B861FB">
                      <w:pPr>
                        <w:pStyle w:val="H-Heading"/>
                        <w:rPr>
                          <w:sz w:val="6"/>
                        </w:rPr>
                      </w:pPr>
                    </w:p>
                  </w:txbxContent>
                </v:textbox>
                <w10:wrap type="square" anchory="page"/>
              </v:shape>
            </w:pict>
          </mc:Fallback>
        </mc:AlternateContent>
      </w:r>
      <w:r w:rsidR="009E2E89">
        <w:t>OSHA Cranes and Derricks in Construction - Operation</w:t>
      </w:r>
    </w:p>
    <w:p w14:paraId="2BFEFCC6" w14:textId="77777777" w:rsidR="00E43591" w:rsidRDefault="00FA299B" w:rsidP="00D6729A">
      <w:pPr>
        <w:pStyle w:val="Overview"/>
      </w:pPr>
      <w:r w:rsidRPr="009E2E89">
        <w:t xml:space="preserve">OSHA’s cranes and derricks standard </w:t>
      </w:r>
      <w:r w:rsidR="00090BED">
        <w:t>(CDS) establishes</w:t>
      </w:r>
      <w:r w:rsidRPr="009E2E89">
        <w:t xml:space="preserve"> processes to prevent the most common hazards that lead to injuries and fatalities in the assembly, disassembly and operation of cranes and derricks. </w:t>
      </w:r>
    </w:p>
    <w:p w14:paraId="703401BB" w14:textId="77777777" w:rsidR="009E2E89" w:rsidRPr="00EE1A9B" w:rsidRDefault="00FA299B" w:rsidP="00D6729A">
      <w:pPr>
        <w:pStyle w:val="Overview"/>
      </w:pPr>
      <w:r w:rsidRPr="00EE1A9B">
        <w:t>The standard was issued on Aug. 9, 2010</w:t>
      </w:r>
      <w:r w:rsidR="008A2045" w:rsidRPr="00EE1A9B">
        <w:t>,</w:t>
      </w:r>
      <w:r w:rsidRPr="00EE1A9B">
        <w:t xml:space="preserve"> and was extended to crane and derrick operations in underground </w:t>
      </w:r>
      <w:r w:rsidRPr="00EE1A9B">
        <w:t xml:space="preserve">construction and demolition work in 2013. The deadline for </w:t>
      </w:r>
      <w:hyperlink r:id="rId12" w:history="1">
        <w:r w:rsidRPr="00090BED">
          <w:rPr>
            <w:rStyle w:val="Hyperlink"/>
          </w:rPr>
          <w:t>c</w:t>
        </w:r>
        <w:r w:rsidR="00EE1A9B" w:rsidRPr="00090BED">
          <w:rPr>
            <w:rStyle w:val="Hyperlink"/>
          </w:rPr>
          <w:t>rane operator certification</w:t>
        </w:r>
      </w:hyperlink>
      <w:r w:rsidR="00EE1A9B" w:rsidRPr="00EE1A9B">
        <w:t xml:space="preserve"> became effective on </w:t>
      </w:r>
      <w:r w:rsidR="00E43591" w:rsidRPr="00EE1A9B">
        <w:t>Nov. 10, 2018.</w:t>
      </w:r>
    </w:p>
    <w:p w14:paraId="16335FEB" w14:textId="77777777" w:rsidR="009E2E89" w:rsidRPr="009E2E89" w:rsidRDefault="00FA299B" w:rsidP="00D6729A">
      <w:pPr>
        <w:pStyle w:val="Overview"/>
      </w:pPr>
      <w:r w:rsidRPr="009E2E89">
        <w:t>Employers that use cranes and derricks in construction must comply with this standard. Employers should also become familiar with this standard if th</w:t>
      </w:r>
      <w:r w:rsidRPr="009E2E89">
        <w:t>eir employees work in areas or sites where cranes and derricks are in use. Finally, crane lessors that provide operators or maintenance personnel with the equipment they lease also have duties under the standard.</w:t>
      </w:r>
    </w:p>
    <w:p w14:paraId="4BF36CF3" w14:textId="202437E5" w:rsidR="007414C5" w:rsidRDefault="00FA299B" w:rsidP="00D6729A">
      <w:pPr>
        <w:pStyle w:val="Overview"/>
      </w:pPr>
      <w:r>
        <w:rPr>
          <w:noProof/>
        </w:rPr>
        <mc:AlternateContent>
          <mc:Choice Requires="wps">
            <w:drawing>
              <wp:anchor distT="0" distB="0" distL="114300" distR="114300" simplePos="0" relativeHeight="251659264" behindDoc="0" locked="0" layoutInCell="1" allowOverlap="1" wp14:anchorId="462BFA13" wp14:editId="5F3C1CA8">
                <wp:simplePos x="0" y="0"/>
                <wp:positionH relativeFrom="column">
                  <wp:posOffset>-29845</wp:posOffset>
                </wp:positionH>
                <wp:positionV relativeFrom="page">
                  <wp:posOffset>7096125</wp:posOffset>
                </wp:positionV>
                <wp:extent cx="4114800" cy="1550670"/>
                <wp:effectExtent l="27305" t="19050" r="20320" b="20955"/>
                <wp:wrapTopAndBottom/>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550670"/>
                        </a:xfrm>
                        <a:prstGeom prst="rect">
                          <a:avLst/>
                        </a:prstGeom>
                        <a:solidFill>
                          <a:srgbClr val="0B6787">
                            <a:alpha val="20000"/>
                          </a:srgbClr>
                        </a:solidFill>
                        <a:ln w="38100">
                          <a:solidFill>
                            <a:srgbClr val="0B6787"/>
                          </a:solidFill>
                          <a:miter lim="800000"/>
                          <a:headEnd/>
                          <a:tailEnd/>
                        </a:ln>
                      </wps:spPr>
                      <wps:txbx>
                        <w:txbxContent>
                          <w:p w14:paraId="3F82C588" w14:textId="77777777" w:rsidR="00D8497C" w:rsidRPr="007201D3" w:rsidRDefault="00FA299B" w:rsidP="007201D3">
                            <w:pPr>
                              <w:pStyle w:val="LR-Heading"/>
                            </w:pPr>
                            <w:r w:rsidRPr="007201D3">
                              <w:t>Links and Resources</w:t>
                            </w:r>
                          </w:p>
                          <w:p w14:paraId="16E0D683" w14:textId="77777777" w:rsidR="0042186B" w:rsidRPr="00C7635A" w:rsidRDefault="00FA299B" w:rsidP="0042186B">
                            <w:pPr>
                              <w:pStyle w:val="LR-BulletList"/>
                            </w:pPr>
                            <w:r w:rsidRPr="00C7635A">
                              <w:t xml:space="preserve">OSHA’s cranes </w:t>
                            </w:r>
                            <w:r w:rsidR="00CD5DBB">
                              <w:t>and</w:t>
                            </w:r>
                            <w:r w:rsidR="00CD5DBB" w:rsidRPr="00C7635A">
                              <w:t xml:space="preserve"> </w:t>
                            </w:r>
                            <w:r w:rsidRPr="00C7635A">
                              <w:t>de</w:t>
                            </w:r>
                            <w:r w:rsidRPr="00C7635A">
                              <w:t xml:space="preserve">rricks in construction </w:t>
                            </w:r>
                            <w:hyperlink r:id="rId13" w:history="1">
                              <w:r w:rsidRPr="00C7635A">
                                <w:rPr>
                                  <w:rStyle w:val="Hyperlink"/>
                                </w:rPr>
                                <w:t>website</w:t>
                              </w:r>
                            </w:hyperlink>
                          </w:p>
                          <w:p w14:paraId="4A922CD7" w14:textId="77777777" w:rsidR="0042186B" w:rsidRPr="00C7635A" w:rsidRDefault="00FA299B" w:rsidP="0042186B">
                            <w:pPr>
                              <w:pStyle w:val="LR-BulletList"/>
                            </w:pPr>
                            <w:r w:rsidRPr="00C7635A">
                              <w:t xml:space="preserve">OSHA’s cranes and derricks </w:t>
                            </w:r>
                            <w:hyperlink r:id="rId14" w:history="1">
                              <w:r w:rsidRPr="00C7635A">
                                <w:rPr>
                                  <w:rStyle w:val="Hyperlink"/>
                                </w:rPr>
                                <w:t>FAQs</w:t>
                              </w:r>
                            </w:hyperlink>
                          </w:p>
                          <w:p w14:paraId="64CF185C" w14:textId="77777777" w:rsidR="0042186B" w:rsidRPr="00C7635A" w:rsidRDefault="00FA299B" w:rsidP="0042186B">
                            <w:pPr>
                              <w:pStyle w:val="LR-BulletList"/>
                            </w:pPr>
                            <w:r w:rsidRPr="00C7635A">
                              <w:t xml:space="preserve">OSHA’s small entity </w:t>
                            </w:r>
                            <w:hyperlink r:id="rId15" w:anchor="introduction" w:history="1">
                              <w:r w:rsidRPr="00C7635A">
                                <w:rPr>
                                  <w:rStyle w:val="Hyperlink"/>
                                </w:rPr>
                                <w:t>Compliance Guide</w:t>
                              </w:r>
                            </w:hyperlink>
                            <w:r w:rsidRPr="00C7635A">
                              <w:t xml:space="preserve"> for cranes and derricks in construction standard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BFA13" id="Text Box 65" o:spid="_x0000_s1028" type="#_x0000_t202" style="position:absolute;left:0;text-align:left;margin-left:-2.35pt;margin-top:558.75pt;width:324pt;height:1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" fillcolor="#0b6787" strokecolor="#0b6787" strokeweight="3pt">
                <v:fill opacity="13107f"/>
                <v:textbox>
                  <w:txbxContent>
                    <w:p w14:paraId="3F82C588" w14:textId="77777777" w:rsidR="00D8497C" w:rsidRPr="007201D3" w:rsidRDefault="00FA299B" w:rsidP="007201D3">
                      <w:pPr>
                        <w:pStyle w:val="LR-Heading"/>
                      </w:pPr>
                      <w:r w:rsidRPr="007201D3">
                        <w:t>Links and Resources</w:t>
                      </w:r>
                    </w:p>
                    <w:p w14:paraId="16E0D683" w14:textId="77777777" w:rsidR="0042186B" w:rsidRPr="00C7635A" w:rsidRDefault="00FA299B" w:rsidP="0042186B">
                      <w:pPr>
                        <w:pStyle w:val="LR-BulletList"/>
                      </w:pPr>
                      <w:r w:rsidRPr="00C7635A">
                        <w:t xml:space="preserve">OSHA’s cranes </w:t>
                      </w:r>
                      <w:r w:rsidR="00CD5DBB">
                        <w:t>and</w:t>
                      </w:r>
                      <w:r w:rsidR="00CD5DBB" w:rsidRPr="00C7635A">
                        <w:t xml:space="preserve"> </w:t>
                      </w:r>
                      <w:r w:rsidRPr="00C7635A">
                        <w:t>de</w:t>
                      </w:r>
                      <w:r w:rsidRPr="00C7635A">
                        <w:t xml:space="preserve">rricks in construction </w:t>
                      </w:r>
                      <w:hyperlink r:id="rId16" w:history="1">
                        <w:r w:rsidRPr="00C7635A">
                          <w:rPr>
                            <w:rStyle w:val="Hyperlink"/>
                          </w:rPr>
                          <w:t>website</w:t>
                        </w:r>
                      </w:hyperlink>
                    </w:p>
                    <w:p w14:paraId="4A922CD7" w14:textId="77777777" w:rsidR="0042186B" w:rsidRPr="00C7635A" w:rsidRDefault="00FA299B" w:rsidP="0042186B">
                      <w:pPr>
                        <w:pStyle w:val="LR-BulletList"/>
                      </w:pPr>
                      <w:r w:rsidRPr="00C7635A">
                        <w:t xml:space="preserve">OSHA’s cranes and derricks </w:t>
                      </w:r>
                      <w:hyperlink r:id="rId17" w:history="1">
                        <w:r w:rsidRPr="00C7635A">
                          <w:rPr>
                            <w:rStyle w:val="Hyperlink"/>
                          </w:rPr>
                          <w:t>FAQs</w:t>
                        </w:r>
                      </w:hyperlink>
                    </w:p>
                    <w:p w14:paraId="64CF185C" w14:textId="77777777" w:rsidR="0042186B" w:rsidRPr="00C7635A" w:rsidRDefault="00FA299B" w:rsidP="0042186B">
                      <w:pPr>
                        <w:pStyle w:val="LR-BulletList"/>
                      </w:pPr>
                      <w:r w:rsidRPr="00C7635A">
                        <w:t xml:space="preserve">OSHA’s small entity </w:t>
                      </w:r>
                      <w:hyperlink r:id="rId18" w:anchor="introduction" w:history="1">
                        <w:r w:rsidRPr="00C7635A">
                          <w:rPr>
                            <w:rStyle w:val="Hyperlink"/>
                          </w:rPr>
                          <w:t>Compliance Guide</w:t>
                        </w:r>
                      </w:hyperlink>
                      <w:r w:rsidRPr="00C7635A">
                        <w:t xml:space="preserve"> for cranes and derricks in construction standard</w:t>
                      </w:r>
                    </w:p>
                  </w:txbxContent>
                </v:textbox>
                <w10:wrap type="topAndBottom" anchory="page"/>
              </v:shape>
            </w:pict>
          </mc:Fallback>
        </mc:AlternateContent>
      </w:r>
      <w:r w:rsidR="00777DD9" w:rsidRPr="00FF278D">
        <w:t xml:space="preserve">This </w:t>
      </w:r>
      <w:r w:rsidR="0086791A">
        <w:t>Compliance</w:t>
      </w:r>
      <w:r w:rsidR="00281307">
        <w:t xml:space="preserve"> Overview</w:t>
      </w:r>
      <w:r w:rsidR="001D652C">
        <w:t xml:space="preserve"> presents some general principles that apply to the operation of equipment affected by OSHA’s cranes and derricks in construction standard. </w:t>
      </w:r>
    </w:p>
    <w:p w14:paraId="54A7710E" w14:textId="77777777" w:rsidR="00D6729A" w:rsidRDefault="00D6729A" w:rsidP="00D6729A">
      <w:pPr>
        <w:pStyle w:val="Overview"/>
        <w:sectPr w:rsidR="00D6729A" w:rsidSect="00451D29">
          <w:headerReference w:type="default" r:id="rId19"/>
          <w:footerReference w:type="default" r:id="rId20"/>
          <w:type w:val="continuous"/>
          <w:pgSz w:w="12240" w:h="15840"/>
          <w:pgMar w:top="1620" w:right="720" w:bottom="720" w:left="720" w:header="720" w:footer="389" w:gutter="0"/>
          <w:cols w:space="720"/>
          <w:docGrid w:linePitch="360"/>
        </w:sectPr>
      </w:pPr>
    </w:p>
    <w:p w14:paraId="36A90A91" w14:textId="77777777" w:rsidR="009E2E89" w:rsidRPr="009E2E89" w:rsidRDefault="00FA299B" w:rsidP="009E2E89">
      <w:pPr>
        <w:pStyle w:val="Heading1"/>
      </w:pPr>
      <w:r>
        <w:br w:type="page"/>
      </w:r>
      <w:r w:rsidRPr="009E2E89">
        <w:lastRenderedPageBreak/>
        <w:t>General Operating Procedures</w:t>
      </w:r>
    </w:p>
    <w:p w14:paraId="0E072669" w14:textId="77777777" w:rsidR="009E2E89" w:rsidRPr="009E2E89" w:rsidRDefault="00FA299B" w:rsidP="009E2E89">
      <w:pPr>
        <w:pStyle w:val="BodyText"/>
      </w:pPr>
      <w:r w:rsidRPr="009E2E89">
        <w:t xml:space="preserve">Employers must follow all manufacturer procedures while operating the equipment, including the use of attachments. If the manufacturer’s procedures are not available, the employer must develop and ensure compliance with the procedures necessary to operate </w:t>
      </w:r>
      <w:r w:rsidRPr="009E2E89">
        <w:t>the equipment and attachments safely. These procedures must be developed by a qualified person. If the procedures are related to the capacity of the equipment, they must be developed and signed by a registered professional engineer who is familiar with the</w:t>
      </w:r>
      <w:r w:rsidRPr="009E2E89">
        <w:t xml:space="preserve"> equipment. </w:t>
      </w:r>
    </w:p>
    <w:p w14:paraId="4359336E" w14:textId="77777777" w:rsidR="009E2E89" w:rsidRPr="009E2E89" w:rsidRDefault="00FA299B" w:rsidP="009E2E89">
      <w:pPr>
        <w:pStyle w:val="BodyText"/>
      </w:pPr>
      <w:r w:rsidRPr="009E2E89">
        <w:t>The procedures for operating the equipment, including rated capacities (load charts), recommended operating speeds, special hazard warnings, instructions and operator’s manual, must be readily available in the cab at all times for the operator</w:t>
      </w:r>
      <w:r w:rsidRPr="009E2E89">
        <w:t xml:space="preserve">’s use. If the load charts are only available in electronic form and a failure occurs that makes them inaccessible, the operator must immediately cease operations or follow safe shutdown procedures until the load charts are available again. </w:t>
      </w:r>
    </w:p>
    <w:p w14:paraId="5016E005" w14:textId="77777777" w:rsidR="009E2E89" w:rsidRPr="009E2E89" w:rsidRDefault="00FA299B" w:rsidP="009E2E89">
      <w:pPr>
        <w:pStyle w:val="BodyText"/>
      </w:pPr>
      <w:r w:rsidRPr="009E2E89">
        <w:t>Before startin</w:t>
      </w:r>
      <w:r w:rsidRPr="009E2E89">
        <w:t xml:space="preserve">g the engine, the operator must verify that all controls are in the proper starting position and that all personnel are in the clear. </w:t>
      </w:r>
    </w:p>
    <w:p w14:paraId="189D1096" w14:textId="77777777" w:rsidR="009E2E89" w:rsidRPr="009E2E89" w:rsidRDefault="00FA299B" w:rsidP="009E2E89">
      <w:pPr>
        <w:pStyle w:val="BodyText"/>
      </w:pPr>
      <w:r w:rsidRPr="009E2E89">
        <w:t>The operator must not engage in any practice or activity that diverts his or her attention while actively operating the e</w:t>
      </w:r>
      <w:r w:rsidRPr="009E2E89">
        <w:t>quipment, such as using a cellphone (unless it is being used for signal communications). Also, the operator must not leave the controls while the load is suspended, unless:</w:t>
      </w:r>
    </w:p>
    <w:p w14:paraId="5C920C21" w14:textId="77777777" w:rsidR="009E2E89" w:rsidRPr="009E2E89" w:rsidRDefault="00FA299B" w:rsidP="009E2E89">
      <w:pPr>
        <w:pStyle w:val="BulletList"/>
      </w:pPr>
      <w:r w:rsidRPr="009E2E89">
        <w:t>The operator remains adjacent to the equipment and is not engaged in any other duti</w:t>
      </w:r>
      <w:r w:rsidRPr="009E2E89">
        <w:t>es;</w:t>
      </w:r>
    </w:p>
    <w:p w14:paraId="69E82C52" w14:textId="77777777" w:rsidR="009E2E89" w:rsidRPr="009E2E89" w:rsidRDefault="00FA299B" w:rsidP="009E2E89">
      <w:pPr>
        <w:pStyle w:val="BulletList"/>
      </w:pPr>
      <w:r w:rsidRPr="009E2E89">
        <w:t xml:space="preserve">The load is to be held suspended for a period of time exceeding normal lifting operations; </w:t>
      </w:r>
    </w:p>
    <w:p w14:paraId="0AF939EE" w14:textId="77777777" w:rsidR="009E2E89" w:rsidRPr="009E2E89" w:rsidRDefault="00FA299B" w:rsidP="009E2E89">
      <w:pPr>
        <w:pStyle w:val="BulletList"/>
      </w:pPr>
      <w:r w:rsidRPr="009E2E89">
        <w:t>A competent person determines that it is safe to do so and implements measures necessary to restrain the boom hoist and telescoping, load, swing and outrigger o</w:t>
      </w:r>
      <w:r w:rsidRPr="009E2E89">
        <w:t>r stabilizer functions; and</w:t>
      </w:r>
    </w:p>
    <w:p w14:paraId="163027C5" w14:textId="77777777" w:rsidR="009E2E89" w:rsidRPr="009E2E89" w:rsidRDefault="00FA299B" w:rsidP="009E2E89">
      <w:pPr>
        <w:pStyle w:val="BulletList"/>
      </w:pPr>
      <w:r w:rsidRPr="009E2E89">
        <w:t xml:space="preserve">Barricades or caution lines and notices are erected to prevent all employees from entering the fall zone. </w:t>
      </w:r>
    </w:p>
    <w:p w14:paraId="50726EE8" w14:textId="77777777" w:rsidR="009E2E89" w:rsidRPr="009E2E89" w:rsidRDefault="00FA299B" w:rsidP="009E2E89">
      <w:pPr>
        <w:pStyle w:val="BodyText"/>
      </w:pPr>
      <w:r w:rsidRPr="009E2E89">
        <w:t>The requirements for leaving the controls when a load is suspended do not apply to working gear (such as slings, spreader</w:t>
      </w:r>
      <w:r w:rsidRPr="009E2E89">
        <w:t xml:space="preserve"> bars, ladders and welding machines) where the weight of the working gear is negligible relative to the lifting capacity of the equipment as positioned, and the working gear is suspended over area other than an entrance or exit. </w:t>
      </w:r>
    </w:p>
    <w:p w14:paraId="511598EA" w14:textId="77777777" w:rsidR="009E2E89" w:rsidRPr="009E2E89" w:rsidRDefault="00FA299B" w:rsidP="009E2E89">
      <w:pPr>
        <w:pStyle w:val="BodyText"/>
      </w:pPr>
      <w:r w:rsidRPr="009E2E89">
        <w:t>Whenever there is a safety concern, the operator must have the authority to stop all necessary operations and refuse to handle any loads until a qualified person has determined that safety has been assured. The operator must obey a stop (or emergency stop)</w:t>
      </w:r>
      <w:r w:rsidRPr="009E2E89">
        <w:t xml:space="preserve"> signal regardless of who gives it. </w:t>
      </w:r>
    </w:p>
    <w:p w14:paraId="449832A8" w14:textId="77777777" w:rsidR="009E2E89" w:rsidRPr="009E2E89" w:rsidRDefault="00FA299B" w:rsidP="009E2E89">
      <w:pPr>
        <w:pStyle w:val="BodyText"/>
      </w:pPr>
      <w:r w:rsidRPr="009E2E89">
        <w:t>If equipment adjustments or repairs are necessary, the operator must promptly inform the person designated to receive the information in writing, and if there are successive shifts, inform the next operator as well. The</w:t>
      </w:r>
      <w:r w:rsidRPr="009E2E89">
        <w:t xml:space="preserve"> employer must notify all affected employees at the beginning of each shift of the necessary adjustments or repairs and all alternative measures. </w:t>
      </w:r>
    </w:p>
    <w:p w14:paraId="1DDC3538" w14:textId="77777777" w:rsidR="009E2E89" w:rsidRPr="009E2E89" w:rsidRDefault="00FA299B" w:rsidP="009E2E89">
      <w:pPr>
        <w:pStyle w:val="Heading1"/>
      </w:pPr>
      <w:r w:rsidRPr="009E2E89">
        <w:t>TagOut Requirements</w:t>
      </w:r>
    </w:p>
    <w:p w14:paraId="23F2652F" w14:textId="77777777" w:rsidR="009E2E89" w:rsidRPr="009E2E89" w:rsidRDefault="00FA299B" w:rsidP="009E2E89">
      <w:pPr>
        <w:pStyle w:val="BodyText"/>
      </w:pPr>
      <w:r w:rsidRPr="009E2E89">
        <w:t>If the employer has taken any equipment out of service, a tag must be placed in the cab s</w:t>
      </w:r>
      <w:r w:rsidRPr="009E2E89">
        <w:t xml:space="preserve">tating that the equipment is out of service and is not to be used. If a function is out of service, a tag must be placed in a conspicuous position stating that the function is out of service and is not to be used. </w:t>
      </w:r>
    </w:p>
    <w:p w14:paraId="25208CA0" w14:textId="77777777" w:rsidR="009E2E89" w:rsidRPr="009E2E89" w:rsidRDefault="00FA299B" w:rsidP="009E2E89">
      <w:pPr>
        <w:pStyle w:val="BodyText"/>
      </w:pPr>
      <w:r w:rsidRPr="009E2E89">
        <w:t>If there is a tagout sign on the equipmen</w:t>
      </w:r>
      <w:r w:rsidRPr="009E2E89">
        <w:t>t or any switch or control, including the starting control, the operator must not activate the switch or control or start the equipment until the sign has been removed by a person authorized to remove it or until the operator has verified that:</w:t>
      </w:r>
    </w:p>
    <w:p w14:paraId="6CBF93B7" w14:textId="77777777" w:rsidR="009E2E89" w:rsidRPr="009E2E89" w:rsidRDefault="00FA299B" w:rsidP="001D652C">
      <w:pPr>
        <w:pStyle w:val="BulletList"/>
      </w:pPr>
      <w:r w:rsidRPr="009E2E89">
        <w:lastRenderedPageBreak/>
        <w:t>No one is s</w:t>
      </w:r>
      <w:r w:rsidRPr="009E2E89">
        <w:t>ervicing, working or otherwise in a dangerous position on or near the equipment; and</w:t>
      </w:r>
    </w:p>
    <w:p w14:paraId="0C92B929" w14:textId="77777777" w:rsidR="009E2E89" w:rsidRPr="009E2E89" w:rsidRDefault="00FA299B" w:rsidP="001D652C">
      <w:pPr>
        <w:pStyle w:val="BulletList"/>
      </w:pPr>
      <w:r w:rsidRPr="009E2E89">
        <w:t xml:space="preserve">The equipment has been repaired and is working properly. </w:t>
      </w:r>
    </w:p>
    <w:p w14:paraId="73D62019" w14:textId="77777777" w:rsidR="009E2E89" w:rsidRPr="009E2E89" w:rsidRDefault="00FA299B" w:rsidP="009E2E89">
      <w:pPr>
        <w:pStyle w:val="Heading1"/>
      </w:pPr>
      <w:r w:rsidRPr="009E2E89">
        <w:t>Weather Safety</w:t>
      </w:r>
    </w:p>
    <w:p w14:paraId="789A66D9" w14:textId="77777777" w:rsidR="009E2E89" w:rsidRPr="009E2E89" w:rsidRDefault="00FA299B" w:rsidP="009E2E89">
      <w:pPr>
        <w:pStyle w:val="BodyText"/>
      </w:pPr>
      <w:r w:rsidRPr="009E2E89">
        <w:t>A competent person must adjust the equipment and its operations when wind, ice and snow affect the</w:t>
      </w:r>
      <w:r w:rsidRPr="009E2E89">
        <w:t xml:space="preserve"> equipment’s stability and rated capacity. </w:t>
      </w:r>
    </w:p>
    <w:p w14:paraId="56689821" w14:textId="77777777" w:rsidR="009E2E89" w:rsidRPr="009E2E89" w:rsidRDefault="00FA299B" w:rsidP="009E2E89">
      <w:pPr>
        <w:pStyle w:val="BodyText"/>
      </w:pPr>
      <w:r w:rsidRPr="009E2E89">
        <w:t xml:space="preserve">If a local storm warning has been issued, a competent person must determine whether it is necessary to implement the manufacturer recommendations for securing the equipment. </w:t>
      </w:r>
    </w:p>
    <w:p w14:paraId="05A1093A" w14:textId="77777777" w:rsidR="009E2E89" w:rsidRPr="009E2E89" w:rsidRDefault="00FA299B" w:rsidP="009E2E89">
      <w:pPr>
        <w:pStyle w:val="Heading1"/>
      </w:pPr>
      <w:r w:rsidRPr="009E2E89">
        <w:t>Handling Loads</w:t>
      </w:r>
    </w:p>
    <w:p w14:paraId="0DEBA461" w14:textId="77777777" w:rsidR="009E2E89" w:rsidRPr="009E2E89" w:rsidRDefault="00FA299B" w:rsidP="009E2E89">
      <w:pPr>
        <w:pStyle w:val="BodyText"/>
      </w:pPr>
      <w:r w:rsidRPr="009E2E89">
        <w:t>The equipment must not</w:t>
      </w:r>
      <w:r w:rsidRPr="009E2E89">
        <w:t xml:space="preserve"> be operated, and the operator must not be required to operate the equipment, in excess of its rated capacity. The operator has an obligation to verify that the load is within the rated capacity of the equipment by using either an industry-recognized sourc</w:t>
      </w:r>
      <w:r w:rsidRPr="009E2E89">
        <w:t xml:space="preserve">e for determining the weight of the load or by using a load weighing device or other similar device. </w:t>
      </w:r>
    </w:p>
    <w:p w14:paraId="240DDA75" w14:textId="77777777" w:rsidR="009E2E89" w:rsidRPr="009E2E89" w:rsidRDefault="00FA299B" w:rsidP="009E2E89">
      <w:pPr>
        <w:pStyle w:val="BodyText"/>
      </w:pPr>
      <w:r w:rsidRPr="009E2E89">
        <w:t>In addition, when handling loads:</w:t>
      </w:r>
    </w:p>
    <w:p w14:paraId="42827D57" w14:textId="77777777" w:rsidR="009E2E89" w:rsidRPr="009E2E89" w:rsidRDefault="00FA299B" w:rsidP="009E2E89">
      <w:pPr>
        <w:pStyle w:val="BulletList"/>
      </w:pPr>
      <w:r w:rsidRPr="009E2E89">
        <w:t>The boom or other parts of the equipment must not contact any obstruction;</w:t>
      </w:r>
    </w:p>
    <w:p w14:paraId="230F4D59" w14:textId="77777777" w:rsidR="009E2E89" w:rsidRPr="009E2E89" w:rsidRDefault="00FA299B" w:rsidP="009E2E89">
      <w:pPr>
        <w:pStyle w:val="BulletList"/>
      </w:pPr>
      <w:r w:rsidRPr="009E2E89">
        <w:t xml:space="preserve">The equipment must not be used to drag or </w:t>
      </w:r>
      <w:r w:rsidRPr="009E2E89">
        <w:t>pull loads sideways;</w:t>
      </w:r>
    </w:p>
    <w:p w14:paraId="1D170189" w14:textId="77777777" w:rsidR="009E2E89" w:rsidRPr="009E2E89" w:rsidRDefault="00FA299B" w:rsidP="009E2E89">
      <w:pPr>
        <w:pStyle w:val="BulletList"/>
      </w:pPr>
      <w:r w:rsidRPr="009E2E89">
        <w:t>On wheel-mounted equipment, no loads must be lifted over the front area, except as permitted by the manufacturer;</w:t>
      </w:r>
    </w:p>
    <w:p w14:paraId="16A2B313" w14:textId="77777777" w:rsidR="009E2E89" w:rsidRPr="009E2E89" w:rsidRDefault="00FA299B" w:rsidP="009E2E89">
      <w:pPr>
        <w:pStyle w:val="BulletList"/>
      </w:pPr>
      <w:r w:rsidRPr="009E2E89">
        <w:t>The operator must test the brakes each time that a load that is 90 percent or more of the maximum line pull is handled by</w:t>
      </w:r>
      <w:r w:rsidRPr="009E2E89">
        <w:t xml:space="preserve"> lifting the load a few inches and applying the brakes. However, in duty cycles and repetitive lifts where each lift is 90 percent or more of the line pull, this requirement applies only to the first lift. </w:t>
      </w:r>
    </w:p>
    <w:p w14:paraId="7ABC8C42" w14:textId="77777777" w:rsidR="009E2E89" w:rsidRPr="009E2E89" w:rsidRDefault="00FA299B" w:rsidP="009E2E89">
      <w:pPr>
        <w:pStyle w:val="BulletList"/>
      </w:pPr>
      <w:r w:rsidRPr="009E2E89">
        <w:t>Neither the load nor the boom may be lowered belo</w:t>
      </w:r>
      <w:r w:rsidRPr="009E2E89">
        <w:t xml:space="preserve">w the point where less than two full wraps of rope remain on their respective drums. </w:t>
      </w:r>
    </w:p>
    <w:p w14:paraId="2E5DAE33" w14:textId="77777777" w:rsidR="009E2E89" w:rsidRPr="009E2E89" w:rsidRDefault="00FA299B" w:rsidP="009E2E89">
      <w:pPr>
        <w:pStyle w:val="BulletList"/>
      </w:pPr>
      <w:r w:rsidRPr="009E2E89">
        <w:t xml:space="preserve">Rotational speed of the equipment must be such that the load does not swing out beyond the radius at which it can be controlled. </w:t>
      </w:r>
    </w:p>
    <w:p w14:paraId="5AF0957F" w14:textId="77777777" w:rsidR="009E2E89" w:rsidRPr="009E2E89" w:rsidRDefault="00FA299B" w:rsidP="009E2E89">
      <w:pPr>
        <w:pStyle w:val="BulletList"/>
      </w:pPr>
      <w:r w:rsidRPr="009E2E89">
        <w:t>A tag or restraint line must be used whe</w:t>
      </w:r>
      <w:r w:rsidRPr="009E2E89">
        <w:t>n necessary to prevent rotation of the load that would be hazardous.</w:t>
      </w:r>
    </w:p>
    <w:p w14:paraId="5AA4011A" w14:textId="77777777" w:rsidR="009E2E89" w:rsidRPr="009E2E89" w:rsidRDefault="00FA299B" w:rsidP="009E2E89">
      <w:pPr>
        <w:pStyle w:val="Heading1"/>
      </w:pPr>
      <w:r w:rsidRPr="009E2E89">
        <w:t>Traveling with a load</w:t>
      </w:r>
    </w:p>
    <w:p w14:paraId="60CB25B9" w14:textId="77777777" w:rsidR="009E2E89" w:rsidRPr="009E2E89" w:rsidRDefault="00FA299B" w:rsidP="009E2E89">
      <w:pPr>
        <w:pStyle w:val="BodyText"/>
      </w:pPr>
      <w:r w:rsidRPr="009E2E89">
        <w:t>Traveling with a load is not allowed if the practice is prohibited by the manufacturer. Where traveling with a load, the employer must ensure that:</w:t>
      </w:r>
    </w:p>
    <w:p w14:paraId="6C731DE5" w14:textId="77777777" w:rsidR="009E2E89" w:rsidRPr="009E2E89" w:rsidRDefault="00FA299B" w:rsidP="009E2E89">
      <w:pPr>
        <w:pStyle w:val="BulletList"/>
      </w:pPr>
      <w:r w:rsidRPr="009E2E89">
        <w:t>A competent perso</w:t>
      </w:r>
      <w:r w:rsidRPr="009E2E89">
        <w:t>n supervises the operation, determines if it is necessary to reduce rated capacity, and makes determinations regarding load position, boom location, ground support, travel route, overhead obstructions and speed of movement necessary to ensure safety;</w:t>
      </w:r>
    </w:p>
    <w:p w14:paraId="174EC56B" w14:textId="77777777" w:rsidR="009E2E89" w:rsidRPr="009E2E89" w:rsidRDefault="00FA299B" w:rsidP="009E2E89">
      <w:pPr>
        <w:pStyle w:val="BulletList"/>
      </w:pPr>
      <w:r w:rsidRPr="009E2E89">
        <w:t>The d</w:t>
      </w:r>
      <w:r w:rsidRPr="009E2E89">
        <w:t>eterminations of the competent person are implemented; and</w:t>
      </w:r>
    </w:p>
    <w:p w14:paraId="43F84AA6" w14:textId="77777777" w:rsidR="009E2E89" w:rsidRDefault="00FA299B" w:rsidP="00D17011">
      <w:pPr>
        <w:pStyle w:val="BulletList"/>
      </w:pPr>
      <w:r w:rsidRPr="009E2E89">
        <w:t xml:space="preserve">Tire pressure maintains the manufacturer’s recommendation when applicable. </w:t>
      </w:r>
    </w:p>
    <w:sectPr w:rsidR="009E2E89" w:rsidSect="007414C5">
      <w:type w:val="continuous"/>
      <w:pgSz w:w="12240" w:h="15840"/>
      <w:pgMar w:top="1627" w:right="144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33017" w14:textId="77777777" w:rsidR="00000000" w:rsidRDefault="00FA299B">
      <w:pPr>
        <w:spacing w:after="0" w:line="240" w:lineRule="auto"/>
      </w:pPr>
      <w:r>
        <w:separator/>
      </w:r>
    </w:p>
  </w:endnote>
  <w:endnote w:type="continuationSeparator" w:id="0">
    <w:p w14:paraId="5848E68D" w14:textId="77777777" w:rsidR="00000000" w:rsidRDefault="00FA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F4E6" w14:textId="473D88EE" w:rsidR="00BA0696" w:rsidRDefault="00FA299B">
    <w:pPr>
      <w:pStyle w:val="Footer"/>
    </w:pPr>
    <w:r>
      <w:rPr>
        <w:noProof/>
      </w:rPr>
      <mc:AlternateContent>
        <mc:Choice Requires="wps">
          <w:drawing>
            <wp:anchor distT="0" distB="0" distL="114300" distR="114300" simplePos="0" relativeHeight="251658240" behindDoc="0" locked="0" layoutInCell="1" allowOverlap="1" wp14:anchorId="561335CC" wp14:editId="75B54C50">
              <wp:simplePos x="0" y="0"/>
              <wp:positionH relativeFrom="column">
                <wp:posOffset>-86995</wp:posOffset>
              </wp:positionH>
              <wp:positionV relativeFrom="paragraph">
                <wp:posOffset>-360045</wp:posOffset>
              </wp:positionV>
              <wp:extent cx="4387215" cy="556260"/>
              <wp:effectExtent l="0" t="0" r="0" b="0"/>
              <wp:wrapNone/>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7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8FFF8F" w14:textId="77777777" w:rsidR="0084048C" w:rsidRPr="00947E11" w:rsidRDefault="00FA299B"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1335CC" id="_x0000_t202" coordsize="21600,21600" o:spt="202" path="m,l,21600r21600,l21600,xe">
              <v:stroke joinstyle="miter"/>
              <v:path gradientshapeok="t" o:connecttype="rect"/>
            </v:shapetype>
            <v:shape id="Text Box 81" o:spid="_x0000_s1029" type="#_x0000_t202" style="position:absolute;margin-left:-6.85pt;margin-top:-28.35pt;width:345.45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45qAIAAKM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" filled="f" stroked="f" strokeweight=".5pt">
              <v:path arrowok="t"/>
              <v:textbox>
                <w:txbxContent>
                  <w:p w14:paraId="3C8FFF8F" w14:textId="77777777" w:rsidR="0084048C" w:rsidRPr="00947E11" w:rsidRDefault="00FA299B" w:rsidP="0084048C">
                    <w:pPr>
                      <w:pStyle w:val="Disclaimer"/>
                      <w:rPr>
                        <w:szCs w:val="16"/>
                      </w:rPr>
                    </w:pPr>
                    <w:r w:rsidRPr="00947E11">
                      <w:rPr>
                        <w:szCs w:val="16"/>
                      </w:rPr>
                      <w:t xml:space="preserve">This </w:t>
                    </w:r>
                    <w:r w:rsidR="0086791A">
                      <w:rPr>
                        <w:szCs w:val="16"/>
                      </w:rPr>
                      <w:t>Compliance</w:t>
                    </w:r>
                    <w:r w:rsidRPr="00947E11">
                      <w:rPr>
                        <w:szCs w:val="16"/>
                      </w:rPr>
                      <w:t xml:space="preserve"> Overview is not intended to be exhaustive nor should any discussion or opinions be construed as legal advice. Readers should contact </w:t>
                    </w:r>
                    <w:r w:rsidR="00991B79">
                      <w:rPr>
                        <w:szCs w:val="16"/>
                      </w:rPr>
                      <w:t>legal counsel for legal advice.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7BC7" w14:textId="77777777" w:rsidR="007B4E79" w:rsidRPr="00F72D06" w:rsidRDefault="00FA299B" w:rsidP="005714F1">
    <w:pPr>
      <w:pStyle w:val="Footer"/>
      <w:spacing w:before="40"/>
      <w:jc w:val="right"/>
    </w:pPr>
    <w:r w:rsidRPr="00F72D06">
      <w:fldChar w:fldCharType="begin"/>
    </w:r>
    <w:r w:rsidRPr="00F72D06">
      <w:instrText xml:space="preserve"> PAGE   \* MERGEFORMAT </w:instrText>
    </w:r>
    <w:r w:rsidRPr="00F72D06">
      <w:fldChar w:fldCharType="separate"/>
    </w:r>
    <w:r w:rsidR="00090BED">
      <w:rPr>
        <w:noProof/>
      </w:rPr>
      <w:t>2</w:t>
    </w:r>
    <w:r w:rsidRPr="00F72D06">
      <w:rPr>
        <w:noProof/>
      </w:rPr>
      <w:fldChar w:fldCharType="end"/>
    </w:r>
  </w:p>
  <w:p w14:paraId="79A36E29" w14:textId="77777777" w:rsidR="002364F9" w:rsidRDefault="00FA299B" w:rsidP="00817EEE">
    <w:pPr>
      <w:pStyle w:val="Disclaimer"/>
    </w:pPr>
    <w:r>
      <w:t>This Compliance</w:t>
    </w:r>
    <w:r w:rsidR="007B4E79" w:rsidRPr="00817EEE">
      <w:t xml:space="preserve"> Overview is not intended to be exhaustive nor should any discussion or opinions be construed as legal advice.</w:t>
    </w:r>
    <w:r w:rsidR="00DD1FDA" w:rsidRPr="00817EEE">
      <w:t xml:space="preserve"> </w:t>
    </w:r>
    <w:r w:rsidR="007B4E79" w:rsidRPr="00817EEE">
      <w:t>Readers should contact legal counsel for legal advice.</w:t>
    </w:r>
    <w:r w:rsidR="00090BED">
      <w:t xml:space="preserve"> </w:t>
    </w:r>
    <w:r w:rsidR="003774F7" w:rsidRPr="00817EEE">
      <w:t>© 201</w:t>
    </w:r>
    <w:r w:rsidR="00460A5D">
      <w:t>7</w:t>
    </w:r>
    <w:r w:rsidR="00EE1A9B">
      <w:t>-2019</w:t>
    </w:r>
    <w:r w:rsidR="003774F7" w:rsidRPr="00817EEE">
      <w:t> </w:t>
    </w:r>
    <w:r w:rsidR="007B4E79" w:rsidRPr="00817EEE">
      <w:t>Zywave, Inc. All rights reserved.</w:t>
    </w:r>
    <w:r w:rsidR="009E2E89">
      <w:t xml:space="preserve"> </w:t>
    </w:r>
  </w:p>
  <w:p w14:paraId="0DC6182E" w14:textId="77777777" w:rsidR="0091138D" w:rsidRPr="00817EEE" w:rsidRDefault="0091138D" w:rsidP="00817EEE">
    <w:pPr>
      <w:pStyle w:val="Disclai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583C5" w14:textId="77777777" w:rsidR="00000000" w:rsidRDefault="00FA299B">
      <w:pPr>
        <w:spacing w:after="0" w:line="240" w:lineRule="auto"/>
      </w:pPr>
      <w:r>
        <w:separator/>
      </w:r>
    </w:p>
  </w:footnote>
  <w:footnote w:type="continuationSeparator" w:id="0">
    <w:p w14:paraId="6C78AB79" w14:textId="77777777" w:rsidR="00000000" w:rsidRDefault="00FA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CCBDC" w14:textId="6AF7A491" w:rsidR="00777DD9" w:rsidRDefault="00FA299B">
    <w:pPr>
      <w:pStyle w:val="Header"/>
    </w:pPr>
    <w:r>
      <w:rPr>
        <w:noProof/>
      </w:rPr>
      <mc:AlternateContent>
        <mc:Choice Requires="wps">
          <w:drawing>
            <wp:anchor distT="0" distB="0" distL="114300" distR="114300" simplePos="0" relativeHeight="251659264" behindDoc="0" locked="0" layoutInCell="1" allowOverlap="1" wp14:anchorId="6132132E" wp14:editId="5393DFA5">
              <wp:simplePos x="0" y="0"/>
              <wp:positionH relativeFrom="column">
                <wp:posOffset>4386580</wp:posOffset>
              </wp:positionH>
              <wp:positionV relativeFrom="paragraph">
                <wp:posOffset>2667000</wp:posOffset>
              </wp:positionV>
              <wp:extent cx="0" cy="5715000"/>
              <wp:effectExtent l="14605" t="9525" r="13970" b="9525"/>
              <wp:wrapNone/>
              <wp:docPr id="2"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0"/>
                      </a:xfrm>
                      <a:prstGeom prst="line">
                        <a:avLst/>
                      </a:prstGeom>
                      <a:noFill/>
                      <a:ln w="19050" cap="rnd">
                        <a:solidFill>
                          <a:srgbClr val="76A05E"/>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542CF8" id="Straight Connector 12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4pt,210pt" to="345.4pt,6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" strokecolor="#76a05e" strokeweight="1.5pt">
              <v:stroke dashstyle="1 1" joinstyle="miter" endcap="round"/>
            </v:line>
          </w:pict>
        </mc:Fallback>
      </mc:AlternateContent>
    </w:r>
    <w:r>
      <w:rPr>
        <w:noProof/>
      </w:rPr>
      <w:drawing>
        <wp:anchor distT="0" distB="0" distL="114300" distR="114300" simplePos="0" relativeHeight="251660288" behindDoc="1" locked="0" layoutInCell="1" allowOverlap="1" wp14:anchorId="5916ADB7" wp14:editId="1B1DB4FA">
          <wp:simplePos x="0" y="0"/>
          <wp:positionH relativeFrom="margin">
            <wp:posOffset>-457200</wp:posOffset>
          </wp:positionH>
          <wp:positionV relativeFrom="margin">
            <wp:posOffset>-2791460</wp:posOffset>
          </wp:positionV>
          <wp:extent cx="7772400" cy="2882265"/>
          <wp:effectExtent l="0" t="0" r="0" b="0"/>
          <wp:wrapNone/>
          <wp:docPr id="1026" name="Picture 5" descr="ACA Overview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 Overview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882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A7E0B" w14:textId="2218D283" w:rsidR="00D16053" w:rsidRDefault="00FA299B">
    <w:pPr>
      <w:pStyle w:val="Header"/>
      <w:rPr>
        <w:noProof/>
      </w:rPr>
    </w:pPr>
    <w:r>
      <w:rPr>
        <w:noProof/>
      </w:rPr>
      <w:drawing>
        <wp:anchor distT="0" distB="0" distL="114300" distR="114300" simplePos="0" relativeHeight="251661312" behindDoc="1" locked="0" layoutInCell="1" allowOverlap="1" wp14:anchorId="3A03B7AA" wp14:editId="1D174E05">
          <wp:simplePos x="0" y="0"/>
          <wp:positionH relativeFrom="margin">
            <wp:posOffset>-914400</wp:posOffset>
          </wp:positionH>
          <wp:positionV relativeFrom="margin">
            <wp:posOffset>-1042670</wp:posOffset>
          </wp:positionV>
          <wp:extent cx="7772400" cy="861695"/>
          <wp:effectExtent l="0" t="0" r="0" b="0"/>
          <wp:wrapNone/>
          <wp:docPr id="1028" name="Picture 6" descr="ACA Overview_PC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 Overview_PC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61695"/>
                  </a:xfrm>
                  <a:prstGeom prst="rect">
                    <a:avLst/>
                  </a:prstGeom>
                  <a:noFill/>
                </pic:spPr>
              </pic:pic>
            </a:graphicData>
          </a:graphic>
          <wp14:sizeRelH relativeFrom="page">
            <wp14:pctWidth>0</wp14:pctWidth>
          </wp14:sizeRelH>
          <wp14:sizeRelV relativeFrom="page">
            <wp14:pctHeight>0</wp14:pctHeight>
          </wp14:sizeRelV>
        </wp:anchor>
      </w:drawing>
    </w:r>
  </w:p>
  <w:p w14:paraId="2E2253A0" w14:textId="77777777" w:rsidR="00D16053" w:rsidRDefault="00D16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488"/>
    <w:multiLevelType w:val="hybridMultilevel"/>
    <w:tmpl w:val="4A98104E"/>
    <w:lvl w:ilvl="0" w:tplc="34C253BE">
      <w:start w:val="1"/>
      <w:numFmt w:val="bullet"/>
      <w:pStyle w:val="T-BulletList"/>
      <w:lvlText w:val=""/>
      <w:lvlJc w:val="left"/>
      <w:pPr>
        <w:ind w:left="288" w:hanging="216"/>
      </w:pPr>
      <w:rPr>
        <w:rFonts w:ascii="Symbol" w:hAnsi="Symbol" w:hint="default"/>
        <w:sz w:val="20"/>
        <w:szCs w:val="20"/>
      </w:rPr>
    </w:lvl>
    <w:lvl w:ilvl="1" w:tplc="346C626C">
      <w:start w:val="1"/>
      <w:numFmt w:val="bullet"/>
      <w:lvlText w:val="o"/>
      <w:lvlJc w:val="left"/>
      <w:pPr>
        <w:ind w:left="576" w:hanging="216"/>
      </w:pPr>
      <w:rPr>
        <w:rFonts w:ascii="Courier New" w:hAnsi="Courier New" w:hint="default"/>
      </w:rPr>
    </w:lvl>
    <w:lvl w:ilvl="2" w:tplc="5854E65C">
      <w:start w:val="1"/>
      <w:numFmt w:val="bullet"/>
      <w:lvlText w:val=""/>
      <w:lvlJc w:val="left"/>
      <w:pPr>
        <w:ind w:left="1008" w:hanging="288"/>
      </w:pPr>
      <w:rPr>
        <w:rFonts w:ascii="Wingdings" w:hAnsi="Wingdings" w:hint="default"/>
      </w:rPr>
    </w:lvl>
    <w:lvl w:ilvl="3" w:tplc="0D561874" w:tentative="1">
      <w:start w:val="1"/>
      <w:numFmt w:val="bullet"/>
      <w:lvlText w:val=""/>
      <w:lvlJc w:val="left"/>
      <w:pPr>
        <w:ind w:left="2880" w:hanging="360"/>
      </w:pPr>
      <w:rPr>
        <w:rFonts w:ascii="Symbol" w:hAnsi="Symbol" w:hint="default"/>
      </w:rPr>
    </w:lvl>
    <w:lvl w:ilvl="4" w:tplc="5A02730E" w:tentative="1">
      <w:start w:val="1"/>
      <w:numFmt w:val="bullet"/>
      <w:lvlText w:val="o"/>
      <w:lvlJc w:val="left"/>
      <w:pPr>
        <w:ind w:left="3600" w:hanging="360"/>
      </w:pPr>
      <w:rPr>
        <w:rFonts w:ascii="Courier New" w:hAnsi="Courier New" w:cs="Courier New" w:hint="default"/>
      </w:rPr>
    </w:lvl>
    <w:lvl w:ilvl="5" w:tplc="56EC1358" w:tentative="1">
      <w:start w:val="1"/>
      <w:numFmt w:val="bullet"/>
      <w:lvlText w:val=""/>
      <w:lvlJc w:val="left"/>
      <w:pPr>
        <w:ind w:left="4320" w:hanging="360"/>
      </w:pPr>
      <w:rPr>
        <w:rFonts w:ascii="Wingdings" w:hAnsi="Wingdings" w:hint="default"/>
      </w:rPr>
    </w:lvl>
    <w:lvl w:ilvl="6" w:tplc="6D0E5552" w:tentative="1">
      <w:start w:val="1"/>
      <w:numFmt w:val="bullet"/>
      <w:lvlText w:val=""/>
      <w:lvlJc w:val="left"/>
      <w:pPr>
        <w:ind w:left="5040" w:hanging="360"/>
      </w:pPr>
      <w:rPr>
        <w:rFonts w:ascii="Symbol" w:hAnsi="Symbol" w:hint="default"/>
      </w:rPr>
    </w:lvl>
    <w:lvl w:ilvl="7" w:tplc="8BB2AC46" w:tentative="1">
      <w:start w:val="1"/>
      <w:numFmt w:val="bullet"/>
      <w:lvlText w:val="o"/>
      <w:lvlJc w:val="left"/>
      <w:pPr>
        <w:ind w:left="5760" w:hanging="360"/>
      </w:pPr>
      <w:rPr>
        <w:rFonts w:ascii="Courier New" w:hAnsi="Courier New" w:cs="Courier New" w:hint="default"/>
      </w:rPr>
    </w:lvl>
    <w:lvl w:ilvl="8" w:tplc="A8FEC64A" w:tentative="1">
      <w:start w:val="1"/>
      <w:numFmt w:val="bullet"/>
      <w:lvlText w:val=""/>
      <w:lvlJc w:val="left"/>
      <w:pPr>
        <w:ind w:left="6480" w:hanging="360"/>
      </w:pPr>
      <w:rPr>
        <w:rFonts w:ascii="Wingdings" w:hAnsi="Wingdings" w:hint="default"/>
      </w:rPr>
    </w:lvl>
  </w:abstractNum>
  <w:abstractNum w:abstractNumId="1" w15:restartNumberingAfterBreak="0">
    <w:nsid w:val="271166A4"/>
    <w:multiLevelType w:val="hybridMultilevel"/>
    <w:tmpl w:val="35D20024"/>
    <w:lvl w:ilvl="0" w:tplc="7B1C8720">
      <w:start w:val="1"/>
      <w:numFmt w:val="bullet"/>
      <w:lvlText w:val=""/>
      <w:lvlJc w:val="left"/>
      <w:pPr>
        <w:ind w:left="288" w:hanging="288"/>
      </w:pPr>
      <w:rPr>
        <w:rFonts w:ascii="Symbol" w:hAnsi="Symbol" w:hint="default"/>
      </w:rPr>
    </w:lvl>
    <w:lvl w:ilvl="1" w:tplc="632ADF6A">
      <w:start w:val="1"/>
      <w:numFmt w:val="bullet"/>
      <w:lvlText w:val="o"/>
      <w:lvlJc w:val="left"/>
      <w:pPr>
        <w:ind w:left="576" w:hanging="216"/>
      </w:pPr>
      <w:rPr>
        <w:rFonts w:ascii="Courier New" w:hAnsi="Courier New" w:hint="default"/>
      </w:rPr>
    </w:lvl>
    <w:lvl w:ilvl="2" w:tplc="7C100EA0">
      <w:start w:val="1"/>
      <w:numFmt w:val="bullet"/>
      <w:lvlText w:val=""/>
      <w:lvlJc w:val="left"/>
      <w:pPr>
        <w:ind w:left="864" w:hanging="216"/>
      </w:pPr>
      <w:rPr>
        <w:rFonts w:ascii="Wingdings" w:hAnsi="Wingdings" w:hint="default"/>
      </w:rPr>
    </w:lvl>
    <w:lvl w:ilvl="3" w:tplc="5C7426F2" w:tentative="1">
      <w:start w:val="1"/>
      <w:numFmt w:val="bullet"/>
      <w:lvlText w:val=""/>
      <w:lvlJc w:val="left"/>
      <w:pPr>
        <w:ind w:left="2880" w:hanging="360"/>
      </w:pPr>
      <w:rPr>
        <w:rFonts w:ascii="Symbol" w:hAnsi="Symbol" w:hint="default"/>
      </w:rPr>
    </w:lvl>
    <w:lvl w:ilvl="4" w:tplc="94C493FE" w:tentative="1">
      <w:start w:val="1"/>
      <w:numFmt w:val="bullet"/>
      <w:lvlText w:val="o"/>
      <w:lvlJc w:val="left"/>
      <w:pPr>
        <w:ind w:left="3600" w:hanging="360"/>
      </w:pPr>
      <w:rPr>
        <w:rFonts w:ascii="Courier New" w:hAnsi="Courier New" w:cs="Courier New" w:hint="default"/>
      </w:rPr>
    </w:lvl>
    <w:lvl w:ilvl="5" w:tplc="1FA69BCA" w:tentative="1">
      <w:start w:val="1"/>
      <w:numFmt w:val="bullet"/>
      <w:lvlText w:val=""/>
      <w:lvlJc w:val="left"/>
      <w:pPr>
        <w:ind w:left="4320" w:hanging="360"/>
      </w:pPr>
      <w:rPr>
        <w:rFonts w:ascii="Wingdings" w:hAnsi="Wingdings" w:hint="default"/>
      </w:rPr>
    </w:lvl>
    <w:lvl w:ilvl="6" w:tplc="1FB81878" w:tentative="1">
      <w:start w:val="1"/>
      <w:numFmt w:val="bullet"/>
      <w:lvlText w:val=""/>
      <w:lvlJc w:val="left"/>
      <w:pPr>
        <w:ind w:left="5040" w:hanging="360"/>
      </w:pPr>
      <w:rPr>
        <w:rFonts w:ascii="Symbol" w:hAnsi="Symbol" w:hint="default"/>
      </w:rPr>
    </w:lvl>
    <w:lvl w:ilvl="7" w:tplc="17824A9A" w:tentative="1">
      <w:start w:val="1"/>
      <w:numFmt w:val="bullet"/>
      <w:lvlText w:val="o"/>
      <w:lvlJc w:val="left"/>
      <w:pPr>
        <w:ind w:left="5760" w:hanging="360"/>
      </w:pPr>
      <w:rPr>
        <w:rFonts w:ascii="Courier New" w:hAnsi="Courier New" w:cs="Courier New" w:hint="default"/>
      </w:rPr>
    </w:lvl>
    <w:lvl w:ilvl="8" w:tplc="5A1C3A56" w:tentative="1">
      <w:start w:val="1"/>
      <w:numFmt w:val="bullet"/>
      <w:lvlText w:val=""/>
      <w:lvlJc w:val="left"/>
      <w:pPr>
        <w:ind w:left="6480" w:hanging="360"/>
      </w:pPr>
      <w:rPr>
        <w:rFonts w:ascii="Wingdings" w:hAnsi="Wingdings" w:hint="default"/>
      </w:rPr>
    </w:lvl>
  </w:abstractNum>
  <w:abstractNum w:abstractNumId="2" w15:restartNumberingAfterBreak="0">
    <w:nsid w:val="370A2C70"/>
    <w:multiLevelType w:val="hybridMultilevel"/>
    <w:tmpl w:val="CB1A4564"/>
    <w:lvl w:ilvl="0" w:tplc="AE4AE43C">
      <w:start w:val="1"/>
      <w:numFmt w:val="bullet"/>
      <w:pStyle w:val="BulletList"/>
      <w:lvlText w:val=""/>
      <w:lvlJc w:val="left"/>
      <w:pPr>
        <w:ind w:left="576" w:hanging="216"/>
      </w:pPr>
      <w:rPr>
        <w:rFonts w:ascii="Symbol" w:hAnsi="Symbol" w:hint="default"/>
      </w:rPr>
    </w:lvl>
    <w:lvl w:ilvl="1" w:tplc="7722D018">
      <w:start w:val="1"/>
      <w:numFmt w:val="bullet"/>
      <w:lvlText w:val="o"/>
      <w:lvlJc w:val="left"/>
      <w:pPr>
        <w:ind w:left="936" w:hanging="216"/>
      </w:pPr>
      <w:rPr>
        <w:rFonts w:ascii="Courier New" w:hAnsi="Courier New" w:hint="default"/>
      </w:rPr>
    </w:lvl>
    <w:lvl w:ilvl="2" w:tplc="A6022248">
      <w:start w:val="1"/>
      <w:numFmt w:val="bullet"/>
      <w:lvlText w:val=""/>
      <w:lvlJc w:val="left"/>
      <w:pPr>
        <w:ind w:left="1296" w:hanging="216"/>
      </w:pPr>
      <w:rPr>
        <w:rFonts w:ascii="Wingdings" w:hAnsi="Wingdings" w:hint="default"/>
      </w:rPr>
    </w:lvl>
    <w:lvl w:ilvl="3" w:tplc="8B0E442C" w:tentative="1">
      <w:start w:val="1"/>
      <w:numFmt w:val="bullet"/>
      <w:lvlText w:val=""/>
      <w:lvlJc w:val="left"/>
      <w:pPr>
        <w:ind w:left="2880" w:hanging="360"/>
      </w:pPr>
      <w:rPr>
        <w:rFonts w:ascii="Symbol" w:hAnsi="Symbol" w:hint="default"/>
      </w:rPr>
    </w:lvl>
    <w:lvl w:ilvl="4" w:tplc="9690A23C" w:tentative="1">
      <w:start w:val="1"/>
      <w:numFmt w:val="bullet"/>
      <w:lvlText w:val="o"/>
      <w:lvlJc w:val="left"/>
      <w:pPr>
        <w:ind w:left="3600" w:hanging="360"/>
      </w:pPr>
      <w:rPr>
        <w:rFonts w:ascii="Courier New" w:hAnsi="Courier New" w:cs="Courier New" w:hint="default"/>
      </w:rPr>
    </w:lvl>
    <w:lvl w:ilvl="5" w:tplc="78085D9C" w:tentative="1">
      <w:start w:val="1"/>
      <w:numFmt w:val="bullet"/>
      <w:lvlText w:val=""/>
      <w:lvlJc w:val="left"/>
      <w:pPr>
        <w:ind w:left="4320" w:hanging="360"/>
      </w:pPr>
      <w:rPr>
        <w:rFonts w:ascii="Wingdings" w:hAnsi="Wingdings" w:hint="default"/>
      </w:rPr>
    </w:lvl>
    <w:lvl w:ilvl="6" w:tplc="C04CDD94" w:tentative="1">
      <w:start w:val="1"/>
      <w:numFmt w:val="bullet"/>
      <w:lvlText w:val=""/>
      <w:lvlJc w:val="left"/>
      <w:pPr>
        <w:ind w:left="5040" w:hanging="360"/>
      </w:pPr>
      <w:rPr>
        <w:rFonts w:ascii="Symbol" w:hAnsi="Symbol" w:hint="default"/>
      </w:rPr>
    </w:lvl>
    <w:lvl w:ilvl="7" w:tplc="0132559C" w:tentative="1">
      <w:start w:val="1"/>
      <w:numFmt w:val="bullet"/>
      <w:lvlText w:val="o"/>
      <w:lvlJc w:val="left"/>
      <w:pPr>
        <w:ind w:left="5760" w:hanging="360"/>
      </w:pPr>
      <w:rPr>
        <w:rFonts w:ascii="Courier New" w:hAnsi="Courier New" w:cs="Courier New" w:hint="default"/>
      </w:rPr>
    </w:lvl>
    <w:lvl w:ilvl="8" w:tplc="A280700E" w:tentative="1">
      <w:start w:val="1"/>
      <w:numFmt w:val="bullet"/>
      <w:lvlText w:val=""/>
      <w:lvlJc w:val="left"/>
      <w:pPr>
        <w:ind w:left="6480" w:hanging="360"/>
      </w:pPr>
      <w:rPr>
        <w:rFonts w:ascii="Wingdings" w:hAnsi="Wingdings" w:hint="default"/>
      </w:rPr>
    </w:lvl>
  </w:abstractNum>
  <w:abstractNum w:abstractNumId="3" w15:restartNumberingAfterBreak="0">
    <w:nsid w:val="3A660EFC"/>
    <w:multiLevelType w:val="hybridMultilevel"/>
    <w:tmpl w:val="2FEE2F96"/>
    <w:lvl w:ilvl="0" w:tplc="FFEA7DD0">
      <w:start w:val="1"/>
      <w:numFmt w:val="bullet"/>
      <w:lvlText w:val=""/>
      <w:lvlJc w:val="left"/>
      <w:pPr>
        <w:ind w:left="720" w:hanging="360"/>
      </w:pPr>
      <w:rPr>
        <w:rFonts w:ascii="Symbol" w:hAnsi="Symbol" w:hint="default"/>
      </w:rPr>
    </w:lvl>
    <w:lvl w:ilvl="1" w:tplc="0CC8D446">
      <w:start w:val="1"/>
      <w:numFmt w:val="bullet"/>
      <w:lvlText w:val="o"/>
      <w:lvlJc w:val="left"/>
      <w:pPr>
        <w:ind w:left="1440" w:hanging="360"/>
      </w:pPr>
      <w:rPr>
        <w:rFonts w:ascii="Courier New" w:hAnsi="Courier New" w:cs="Courier New" w:hint="default"/>
      </w:rPr>
    </w:lvl>
    <w:lvl w:ilvl="2" w:tplc="F98E49E2" w:tentative="1">
      <w:start w:val="1"/>
      <w:numFmt w:val="bullet"/>
      <w:lvlText w:val=""/>
      <w:lvlJc w:val="left"/>
      <w:pPr>
        <w:ind w:left="2160" w:hanging="360"/>
      </w:pPr>
      <w:rPr>
        <w:rFonts w:ascii="Wingdings" w:hAnsi="Wingdings" w:hint="default"/>
      </w:rPr>
    </w:lvl>
    <w:lvl w:ilvl="3" w:tplc="E70EA5CC" w:tentative="1">
      <w:start w:val="1"/>
      <w:numFmt w:val="bullet"/>
      <w:lvlText w:val=""/>
      <w:lvlJc w:val="left"/>
      <w:pPr>
        <w:ind w:left="2880" w:hanging="360"/>
      </w:pPr>
      <w:rPr>
        <w:rFonts w:ascii="Symbol" w:hAnsi="Symbol" w:hint="default"/>
      </w:rPr>
    </w:lvl>
    <w:lvl w:ilvl="4" w:tplc="11568B1E" w:tentative="1">
      <w:start w:val="1"/>
      <w:numFmt w:val="bullet"/>
      <w:lvlText w:val="o"/>
      <w:lvlJc w:val="left"/>
      <w:pPr>
        <w:ind w:left="3600" w:hanging="360"/>
      </w:pPr>
      <w:rPr>
        <w:rFonts w:ascii="Courier New" w:hAnsi="Courier New" w:cs="Courier New" w:hint="default"/>
      </w:rPr>
    </w:lvl>
    <w:lvl w:ilvl="5" w:tplc="74543220" w:tentative="1">
      <w:start w:val="1"/>
      <w:numFmt w:val="bullet"/>
      <w:lvlText w:val=""/>
      <w:lvlJc w:val="left"/>
      <w:pPr>
        <w:ind w:left="4320" w:hanging="360"/>
      </w:pPr>
      <w:rPr>
        <w:rFonts w:ascii="Wingdings" w:hAnsi="Wingdings" w:hint="default"/>
      </w:rPr>
    </w:lvl>
    <w:lvl w:ilvl="6" w:tplc="7BCCAE20" w:tentative="1">
      <w:start w:val="1"/>
      <w:numFmt w:val="bullet"/>
      <w:lvlText w:val=""/>
      <w:lvlJc w:val="left"/>
      <w:pPr>
        <w:ind w:left="5040" w:hanging="360"/>
      </w:pPr>
      <w:rPr>
        <w:rFonts w:ascii="Symbol" w:hAnsi="Symbol" w:hint="default"/>
      </w:rPr>
    </w:lvl>
    <w:lvl w:ilvl="7" w:tplc="901023E2" w:tentative="1">
      <w:start w:val="1"/>
      <w:numFmt w:val="bullet"/>
      <w:lvlText w:val="o"/>
      <w:lvlJc w:val="left"/>
      <w:pPr>
        <w:ind w:left="5760" w:hanging="360"/>
      </w:pPr>
      <w:rPr>
        <w:rFonts w:ascii="Courier New" w:hAnsi="Courier New" w:cs="Courier New" w:hint="default"/>
      </w:rPr>
    </w:lvl>
    <w:lvl w:ilvl="8" w:tplc="06A400EA" w:tentative="1">
      <w:start w:val="1"/>
      <w:numFmt w:val="bullet"/>
      <w:lvlText w:val=""/>
      <w:lvlJc w:val="left"/>
      <w:pPr>
        <w:ind w:left="6480" w:hanging="360"/>
      </w:pPr>
      <w:rPr>
        <w:rFonts w:ascii="Wingdings" w:hAnsi="Wingdings" w:hint="default"/>
      </w:rPr>
    </w:lvl>
  </w:abstractNum>
  <w:abstractNum w:abstractNumId="4" w15:restartNumberingAfterBreak="0">
    <w:nsid w:val="6F346A19"/>
    <w:multiLevelType w:val="hybridMultilevel"/>
    <w:tmpl w:val="A2763910"/>
    <w:lvl w:ilvl="0" w:tplc="14241BAE">
      <w:start w:val="1"/>
      <w:numFmt w:val="bullet"/>
      <w:pStyle w:val="H-BulletList"/>
      <w:lvlText w:val=""/>
      <w:lvlJc w:val="left"/>
      <w:pPr>
        <w:ind w:left="288" w:hanging="216"/>
      </w:pPr>
      <w:rPr>
        <w:rFonts w:ascii="Symbol" w:hAnsi="Symbol" w:hint="default"/>
        <w:sz w:val="20"/>
        <w:szCs w:val="20"/>
      </w:rPr>
    </w:lvl>
    <w:lvl w:ilvl="1" w:tplc="30FA5C3A">
      <w:start w:val="1"/>
      <w:numFmt w:val="bullet"/>
      <w:lvlText w:val="o"/>
      <w:lvlJc w:val="left"/>
      <w:pPr>
        <w:ind w:left="504" w:hanging="144"/>
      </w:pPr>
      <w:rPr>
        <w:rFonts w:ascii="Courier New" w:hAnsi="Courier New" w:hint="default"/>
      </w:rPr>
    </w:lvl>
    <w:lvl w:ilvl="2" w:tplc="B0E0221A">
      <w:start w:val="1"/>
      <w:numFmt w:val="bullet"/>
      <w:lvlText w:val=""/>
      <w:lvlJc w:val="left"/>
      <w:pPr>
        <w:ind w:left="1008" w:hanging="288"/>
      </w:pPr>
      <w:rPr>
        <w:rFonts w:ascii="Wingdings" w:hAnsi="Wingdings" w:hint="default"/>
      </w:rPr>
    </w:lvl>
    <w:lvl w:ilvl="3" w:tplc="926CB888" w:tentative="1">
      <w:start w:val="1"/>
      <w:numFmt w:val="bullet"/>
      <w:lvlText w:val=""/>
      <w:lvlJc w:val="left"/>
      <w:pPr>
        <w:ind w:left="2880" w:hanging="360"/>
      </w:pPr>
      <w:rPr>
        <w:rFonts w:ascii="Symbol" w:hAnsi="Symbol" w:hint="default"/>
      </w:rPr>
    </w:lvl>
    <w:lvl w:ilvl="4" w:tplc="CA9C3916" w:tentative="1">
      <w:start w:val="1"/>
      <w:numFmt w:val="bullet"/>
      <w:lvlText w:val="o"/>
      <w:lvlJc w:val="left"/>
      <w:pPr>
        <w:ind w:left="3600" w:hanging="360"/>
      </w:pPr>
      <w:rPr>
        <w:rFonts w:ascii="Courier New" w:hAnsi="Courier New" w:cs="Courier New" w:hint="default"/>
      </w:rPr>
    </w:lvl>
    <w:lvl w:ilvl="5" w:tplc="63F2C448" w:tentative="1">
      <w:start w:val="1"/>
      <w:numFmt w:val="bullet"/>
      <w:lvlText w:val=""/>
      <w:lvlJc w:val="left"/>
      <w:pPr>
        <w:ind w:left="4320" w:hanging="360"/>
      </w:pPr>
      <w:rPr>
        <w:rFonts w:ascii="Wingdings" w:hAnsi="Wingdings" w:hint="default"/>
      </w:rPr>
    </w:lvl>
    <w:lvl w:ilvl="6" w:tplc="71AC6580" w:tentative="1">
      <w:start w:val="1"/>
      <w:numFmt w:val="bullet"/>
      <w:lvlText w:val=""/>
      <w:lvlJc w:val="left"/>
      <w:pPr>
        <w:ind w:left="5040" w:hanging="360"/>
      </w:pPr>
      <w:rPr>
        <w:rFonts w:ascii="Symbol" w:hAnsi="Symbol" w:hint="default"/>
      </w:rPr>
    </w:lvl>
    <w:lvl w:ilvl="7" w:tplc="75300F1A" w:tentative="1">
      <w:start w:val="1"/>
      <w:numFmt w:val="bullet"/>
      <w:lvlText w:val="o"/>
      <w:lvlJc w:val="left"/>
      <w:pPr>
        <w:ind w:left="5760" w:hanging="360"/>
      </w:pPr>
      <w:rPr>
        <w:rFonts w:ascii="Courier New" w:hAnsi="Courier New" w:cs="Courier New" w:hint="default"/>
      </w:rPr>
    </w:lvl>
    <w:lvl w:ilvl="8" w:tplc="C3AE6F4E" w:tentative="1">
      <w:start w:val="1"/>
      <w:numFmt w:val="bullet"/>
      <w:lvlText w:val=""/>
      <w:lvlJc w:val="left"/>
      <w:pPr>
        <w:ind w:left="6480" w:hanging="360"/>
      </w:pPr>
      <w:rPr>
        <w:rFonts w:ascii="Wingdings" w:hAnsi="Wingdings" w:hint="default"/>
      </w:rPr>
    </w:lvl>
  </w:abstractNum>
  <w:abstractNum w:abstractNumId="5" w15:restartNumberingAfterBreak="0">
    <w:nsid w:val="70D86126"/>
    <w:multiLevelType w:val="hybridMultilevel"/>
    <w:tmpl w:val="792E3A1A"/>
    <w:lvl w:ilvl="0" w:tplc="8E38A7AA">
      <w:start w:val="1"/>
      <w:numFmt w:val="decimal"/>
      <w:pStyle w:val="Numbering"/>
      <w:lvlText w:val="%1."/>
      <w:lvlJc w:val="left"/>
      <w:pPr>
        <w:ind w:left="576" w:hanging="216"/>
      </w:pPr>
      <w:rPr>
        <w:rFonts w:hint="default"/>
      </w:rPr>
    </w:lvl>
    <w:lvl w:ilvl="1" w:tplc="AAF06232">
      <w:start w:val="1"/>
      <w:numFmt w:val="lowerLetter"/>
      <w:lvlText w:val="%2."/>
      <w:lvlJc w:val="left"/>
      <w:pPr>
        <w:ind w:left="936" w:hanging="216"/>
      </w:pPr>
      <w:rPr>
        <w:rFonts w:hint="default"/>
      </w:rPr>
    </w:lvl>
    <w:lvl w:ilvl="2" w:tplc="A0CE7D32">
      <w:start w:val="1"/>
      <w:numFmt w:val="lowerRoman"/>
      <w:lvlText w:val="%3."/>
      <w:lvlJc w:val="right"/>
      <w:pPr>
        <w:ind w:left="1296" w:hanging="216"/>
      </w:pPr>
      <w:rPr>
        <w:rFonts w:hint="default"/>
      </w:rPr>
    </w:lvl>
    <w:lvl w:ilvl="3" w:tplc="71681B32" w:tentative="1">
      <w:start w:val="1"/>
      <w:numFmt w:val="decimal"/>
      <w:lvlText w:val="%4."/>
      <w:lvlJc w:val="left"/>
      <w:pPr>
        <w:ind w:left="2880" w:hanging="360"/>
      </w:pPr>
    </w:lvl>
    <w:lvl w:ilvl="4" w:tplc="8EE42EC8" w:tentative="1">
      <w:start w:val="1"/>
      <w:numFmt w:val="lowerLetter"/>
      <w:lvlText w:val="%5."/>
      <w:lvlJc w:val="left"/>
      <w:pPr>
        <w:ind w:left="3600" w:hanging="360"/>
      </w:pPr>
    </w:lvl>
    <w:lvl w:ilvl="5" w:tplc="241469CE" w:tentative="1">
      <w:start w:val="1"/>
      <w:numFmt w:val="lowerRoman"/>
      <w:lvlText w:val="%6."/>
      <w:lvlJc w:val="right"/>
      <w:pPr>
        <w:ind w:left="4320" w:hanging="180"/>
      </w:pPr>
    </w:lvl>
    <w:lvl w:ilvl="6" w:tplc="954E6EFE" w:tentative="1">
      <w:start w:val="1"/>
      <w:numFmt w:val="decimal"/>
      <w:lvlText w:val="%7."/>
      <w:lvlJc w:val="left"/>
      <w:pPr>
        <w:ind w:left="5040" w:hanging="360"/>
      </w:pPr>
    </w:lvl>
    <w:lvl w:ilvl="7" w:tplc="8A7AD346" w:tentative="1">
      <w:start w:val="1"/>
      <w:numFmt w:val="lowerLetter"/>
      <w:lvlText w:val="%8."/>
      <w:lvlJc w:val="left"/>
      <w:pPr>
        <w:ind w:left="5760" w:hanging="360"/>
      </w:pPr>
    </w:lvl>
    <w:lvl w:ilvl="8" w:tplc="DC740F38" w:tentative="1">
      <w:start w:val="1"/>
      <w:numFmt w:val="lowerRoman"/>
      <w:lvlText w:val="%9."/>
      <w:lvlJc w:val="right"/>
      <w:pPr>
        <w:ind w:left="6480" w:hanging="180"/>
      </w:pPr>
    </w:lvl>
  </w:abstractNum>
  <w:abstractNum w:abstractNumId="6" w15:restartNumberingAfterBreak="0">
    <w:nsid w:val="730B4ECD"/>
    <w:multiLevelType w:val="hybridMultilevel"/>
    <w:tmpl w:val="6C406044"/>
    <w:lvl w:ilvl="0" w:tplc="AB0212DC">
      <w:start w:val="1"/>
      <w:numFmt w:val="bullet"/>
      <w:pStyle w:val="BulletlistHighlight"/>
      <w:lvlText w:val=""/>
      <w:lvlJc w:val="left"/>
      <w:pPr>
        <w:ind w:left="288" w:hanging="288"/>
      </w:pPr>
      <w:rPr>
        <w:rFonts w:ascii="Symbol" w:hAnsi="Symbol" w:hint="default"/>
      </w:rPr>
    </w:lvl>
    <w:lvl w:ilvl="1" w:tplc="ECC8658E">
      <w:start w:val="1"/>
      <w:numFmt w:val="bullet"/>
      <w:lvlText w:val="o"/>
      <w:lvlJc w:val="left"/>
      <w:pPr>
        <w:ind w:left="576" w:hanging="216"/>
      </w:pPr>
      <w:rPr>
        <w:rFonts w:ascii="Courier New" w:hAnsi="Courier New" w:hint="default"/>
      </w:rPr>
    </w:lvl>
    <w:lvl w:ilvl="2" w:tplc="8B0E184E">
      <w:start w:val="1"/>
      <w:numFmt w:val="bullet"/>
      <w:lvlText w:val=""/>
      <w:lvlJc w:val="left"/>
      <w:pPr>
        <w:ind w:left="864" w:hanging="216"/>
      </w:pPr>
      <w:rPr>
        <w:rFonts w:ascii="Wingdings" w:hAnsi="Wingdings" w:hint="default"/>
      </w:rPr>
    </w:lvl>
    <w:lvl w:ilvl="3" w:tplc="EB5E1D88" w:tentative="1">
      <w:start w:val="1"/>
      <w:numFmt w:val="bullet"/>
      <w:lvlText w:val=""/>
      <w:lvlJc w:val="left"/>
      <w:pPr>
        <w:ind w:left="2880" w:hanging="360"/>
      </w:pPr>
      <w:rPr>
        <w:rFonts w:ascii="Symbol" w:hAnsi="Symbol" w:hint="default"/>
      </w:rPr>
    </w:lvl>
    <w:lvl w:ilvl="4" w:tplc="406E37E4" w:tentative="1">
      <w:start w:val="1"/>
      <w:numFmt w:val="bullet"/>
      <w:lvlText w:val="o"/>
      <w:lvlJc w:val="left"/>
      <w:pPr>
        <w:ind w:left="3600" w:hanging="360"/>
      </w:pPr>
      <w:rPr>
        <w:rFonts w:ascii="Courier New" w:hAnsi="Courier New" w:cs="Courier New" w:hint="default"/>
      </w:rPr>
    </w:lvl>
    <w:lvl w:ilvl="5" w:tplc="8BE2F040" w:tentative="1">
      <w:start w:val="1"/>
      <w:numFmt w:val="bullet"/>
      <w:lvlText w:val=""/>
      <w:lvlJc w:val="left"/>
      <w:pPr>
        <w:ind w:left="4320" w:hanging="360"/>
      </w:pPr>
      <w:rPr>
        <w:rFonts w:ascii="Wingdings" w:hAnsi="Wingdings" w:hint="default"/>
      </w:rPr>
    </w:lvl>
    <w:lvl w:ilvl="6" w:tplc="528AD214" w:tentative="1">
      <w:start w:val="1"/>
      <w:numFmt w:val="bullet"/>
      <w:lvlText w:val=""/>
      <w:lvlJc w:val="left"/>
      <w:pPr>
        <w:ind w:left="5040" w:hanging="360"/>
      </w:pPr>
      <w:rPr>
        <w:rFonts w:ascii="Symbol" w:hAnsi="Symbol" w:hint="default"/>
      </w:rPr>
    </w:lvl>
    <w:lvl w:ilvl="7" w:tplc="D03624E2" w:tentative="1">
      <w:start w:val="1"/>
      <w:numFmt w:val="bullet"/>
      <w:lvlText w:val="o"/>
      <w:lvlJc w:val="left"/>
      <w:pPr>
        <w:ind w:left="5760" w:hanging="360"/>
      </w:pPr>
      <w:rPr>
        <w:rFonts w:ascii="Courier New" w:hAnsi="Courier New" w:cs="Courier New" w:hint="default"/>
      </w:rPr>
    </w:lvl>
    <w:lvl w:ilvl="8" w:tplc="77CADB64"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4"/>
    <w:lvlOverride w:ilvl="0">
      <w:startOverride w:val="1"/>
    </w:lvlOverride>
  </w:num>
  <w:num w:numId="5">
    <w:abstractNumId w:val="4"/>
    <w:lvlOverride w:ilvl="0">
      <w:startOverride w:val="1"/>
    </w:lvlOverride>
  </w:num>
  <w:num w:numId="6">
    <w:abstractNumId w:val="6"/>
    <w:lvlOverride w:ilvl="0">
      <w:startOverride w:val="1"/>
    </w:lvlOverride>
  </w:num>
  <w:num w:numId="7">
    <w:abstractNumId w:val="6"/>
    <w:lvlOverride w:ilvl="0">
      <w:startOverride w:val="1"/>
    </w:lvlOverride>
  </w:num>
  <w:num w:numId="8">
    <w:abstractNumId w:val="1"/>
  </w:num>
  <w:num w:numId="9">
    <w:abstractNumId w:val="2"/>
    <w:lvlOverride w:ilvl="0">
      <w:startOverride w:val="1"/>
    </w:lvlOverride>
  </w:num>
  <w:num w:numId="10">
    <w:abstractNumId w:val="5"/>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89"/>
    <w:rsid w:val="000106B8"/>
    <w:rsid w:val="000272AF"/>
    <w:rsid w:val="00053327"/>
    <w:rsid w:val="00090BED"/>
    <w:rsid w:val="000D733F"/>
    <w:rsid w:val="00163B2F"/>
    <w:rsid w:val="0017685B"/>
    <w:rsid w:val="00177E2A"/>
    <w:rsid w:val="001968D1"/>
    <w:rsid w:val="001D652C"/>
    <w:rsid w:val="001F76A9"/>
    <w:rsid w:val="002364F9"/>
    <w:rsid w:val="00281307"/>
    <w:rsid w:val="00281D65"/>
    <w:rsid w:val="002C41BC"/>
    <w:rsid w:val="002D2755"/>
    <w:rsid w:val="0033142C"/>
    <w:rsid w:val="0034322C"/>
    <w:rsid w:val="003774F7"/>
    <w:rsid w:val="00387011"/>
    <w:rsid w:val="00387C54"/>
    <w:rsid w:val="003A3E30"/>
    <w:rsid w:val="0042186B"/>
    <w:rsid w:val="0045015D"/>
    <w:rsid w:val="00451D29"/>
    <w:rsid w:val="00456F44"/>
    <w:rsid w:val="00460470"/>
    <w:rsid w:val="00460A5D"/>
    <w:rsid w:val="00461814"/>
    <w:rsid w:val="00462EE5"/>
    <w:rsid w:val="004A352F"/>
    <w:rsid w:val="004D0A73"/>
    <w:rsid w:val="004D217B"/>
    <w:rsid w:val="005227C2"/>
    <w:rsid w:val="0053278E"/>
    <w:rsid w:val="0053544A"/>
    <w:rsid w:val="00545F60"/>
    <w:rsid w:val="00552D46"/>
    <w:rsid w:val="00564826"/>
    <w:rsid w:val="005714F1"/>
    <w:rsid w:val="005E1623"/>
    <w:rsid w:val="006278A4"/>
    <w:rsid w:val="00640D15"/>
    <w:rsid w:val="00646D26"/>
    <w:rsid w:val="00660351"/>
    <w:rsid w:val="006A21D0"/>
    <w:rsid w:val="00707AB0"/>
    <w:rsid w:val="007201D3"/>
    <w:rsid w:val="007414C5"/>
    <w:rsid w:val="0074191F"/>
    <w:rsid w:val="00777803"/>
    <w:rsid w:val="00777DD9"/>
    <w:rsid w:val="007B4E79"/>
    <w:rsid w:val="007D056B"/>
    <w:rsid w:val="007F626C"/>
    <w:rsid w:val="00817EEE"/>
    <w:rsid w:val="00822DC3"/>
    <w:rsid w:val="0082527D"/>
    <w:rsid w:val="0084048C"/>
    <w:rsid w:val="0086791A"/>
    <w:rsid w:val="008A2045"/>
    <w:rsid w:val="0091138D"/>
    <w:rsid w:val="00936316"/>
    <w:rsid w:val="009454CF"/>
    <w:rsid w:val="00947E11"/>
    <w:rsid w:val="00963261"/>
    <w:rsid w:val="0097761E"/>
    <w:rsid w:val="0098778C"/>
    <w:rsid w:val="00991B79"/>
    <w:rsid w:val="009C2B0D"/>
    <w:rsid w:val="009C43ED"/>
    <w:rsid w:val="009D21BE"/>
    <w:rsid w:val="009E2E89"/>
    <w:rsid w:val="00A16F4F"/>
    <w:rsid w:val="00A22068"/>
    <w:rsid w:val="00A76D7E"/>
    <w:rsid w:val="00A82008"/>
    <w:rsid w:val="00A93330"/>
    <w:rsid w:val="00B35F77"/>
    <w:rsid w:val="00B43977"/>
    <w:rsid w:val="00B861FB"/>
    <w:rsid w:val="00BA0696"/>
    <w:rsid w:val="00BB3D80"/>
    <w:rsid w:val="00BD1D21"/>
    <w:rsid w:val="00BD64CC"/>
    <w:rsid w:val="00BE5FAA"/>
    <w:rsid w:val="00C14A92"/>
    <w:rsid w:val="00C7635A"/>
    <w:rsid w:val="00C83CAB"/>
    <w:rsid w:val="00CD5DBB"/>
    <w:rsid w:val="00D046E7"/>
    <w:rsid w:val="00D16053"/>
    <w:rsid w:val="00D17011"/>
    <w:rsid w:val="00D56AE4"/>
    <w:rsid w:val="00D6729A"/>
    <w:rsid w:val="00D8497C"/>
    <w:rsid w:val="00DB07D8"/>
    <w:rsid w:val="00DC20C0"/>
    <w:rsid w:val="00DD1FDA"/>
    <w:rsid w:val="00E13430"/>
    <w:rsid w:val="00E43591"/>
    <w:rsid w:val="00E444AA"/>
    <w:rsid w:val="00E51CFB"/>
    <w:rsid w:val="00EE1A9B"/>
    <w:rsid w:val="00F00FE0"/>
    <w:rsid w:val="00F0224A"/>
    <w:rsid w:val="00F447F0"/>
    <w:rsid w:val="00F72D06"/>
    <w:rsid w:val="00F77D3A"/>
    <w:rsid w:val="00F85F4A"/>
    <w:rsid w:val="00F9723B"/>
    <w:rsid w:val="00FA299B"/>
    <w:rsid w:val="00FF278D"/>
    <w:rsid w:val="00FF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3"/>
    </o:shapelayout>
  </w:shapeDefaults>
  <w:decimalSymbol w:val="."/>
  <w:listSeparator w:val=","/>
  <w14:docId w14:val="69997F84"/>
  <w15:chartTrackingRefBased/>
  <w15:docId w15:val="{96A6E08D-9C02-4D5E-8B46-91383E38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352F"/>
    <w:pPr>
      <w:spacing w:after="160" w:line="259" w:lineRule="auto"/>
    </w:pPr>
    <w:rPr>
      <w:color w:val="595959"/>
      <w:szCs w:val="22"/>
    </w:rPr>
  </w:style>
  <w:style w:type="paragraph" w:styleId="Heading1">
    <w:name w:val="heading 1"/>
    <w:basedOn w:val="BodyText2"/>
    <w:next w:val="Normal"/>
    <w:link w:val="Heading1Char"/>
    <w:uiPriority w:val="9"/>
    <w:qFormat/>
    <w:rsid w:val="00D6729A"/>
    <w:pPr>
      <w:spacing w:after="0"/>
      <w:ind w:left="0" w:right="0"/>
      <w:outlineLvl w:val="0"/>
    </w:pPr>
    <w:rPr>
      <w:color w:val="0B6787"/>
      <w:sz w:val="24"/>
    </w:rPr>
  </w:style>
  <w:style w:type="paragraph" w:styleId="Heading2">
    <w:name w:val="heading 2"/>
    <w:basedOn w:val="Normal"/>
    <w:next w:val="Normal"/>
    <w:link w:val="Heading2Char"/>
    <w:uiPriority w:val="9"/>
    <w:unhideWhenUsed/>
    <w:qFormat/>
    <w:rsid w:val="0086791A"/>
    <w:pPr>
      <w:spacing w:before="240" w:after="120"/>
      <w:outlineLvl w:val="1"/>
    </w:pPr>
    <w:rPr>
      <w:b/>
      <w:i/>
      <w:sz w:val="24"/>
    </w:rPr>
  </w:style>
  <w:style w:type="paragraph" w:styleId="Heading3">
    <w:name w:val="heading 3"/>
    <w:basedOn w:val="Normal"/>
    <w:next w:val="Normal"/>
    <w:link w:val="Heading3Char"/>
    <w:uiPriority w:val="9"/>
    <w:unhideWhenUsed/>
    <w:qFormat/>
    <w:rsid w:val="0086791A"/>
    <w:pPr>
      <w:spacing w:before="240" w:after="120"/>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729A"/>
    <w:rPr>
      <w:rFonts w:eastAsia="Times New Roman"/>
      <w:b/>
      <w:caps/>
      <w:color w:val="0B6787"/>
      <w:sz w:val="24"/>
    </w:rPr>
  </w:style>
  <w:style w:type="character" w:customStyle="1" w:styleId="Heading2Char">
    <w:name w:val="Heading 2 Char"/>
    <w:link w:val="Heading2"/>
    <w:uiPriority w:val="9"/>
    <w:rsid w:val="0086791A"/>
    <w:rPr>
      <w:b/>
      <w:i/>
      <w:color w:val="595959"/>
      <w:sz w:val="24"/>
      <w:szCs w:val="22"/>
    </w:rPr>
  </w:style>
  <w:style w:type="character" w:styleId="Strong">
    <w:name w:val="Strong"/>
    <w:aliases w:val="Subheading"/>
    <w:rsid w:val="000D733F"/>
    <w:rPr>
      <w:color w:val="BC5D58"/>
    </w:rPr>
  </w:style>
  <w:style w:type="paragraph" w:styleId="BodyText2">
    <w:name w:val="Body Text 2"/>
    <w:aliases w:val="Subtitle 1"/>
    <w:basedOn w:val="Normal"/>
    <w:next w:val="BodyText"/>
    <w:link w:val="BodyText2Char"/>
    <w:rsid w:val="00777DD9"/>
    <w:pPr>
      <w:spacing w:before="240" w:after="80" w:line="240" w:lineRule="auto"/>
      <w:ind w:left="-540" w:right="2880"/>
    </w:pPr>
    <w:rPr>
      <w:rFonts w:eastAsia="Times New Roman"/>
      <w:b/>
      <w:caps/>
      <w:color w:val="C93535"/>
      <w:szCs w:val="20"/>
    </w:rPr>
  </w:style>
  <w:style w:type="character" w:customStyle="1" w:styleId="BodyText2Char">
    <w:name w:val="Body Text 2 Char"/>
    <w:aliases w:val="Subtitle 1 Char"/>
    <w:link w:val="BodyText2"/>
    <w:rsid w:val="00777DD9"/>
    <w:rPr>
      <w:rFonts w:ascii="Calibri" w:eastAsia="Times New Roman" w:hAnsi="Calibri" w:cs="Times New Roman"/>
      <w:b/>
      <w:caps/>
      <w:color w:val="C93535"/>
      <w:szCs w:val="20"/>
    </w:rPr>
  </w:style>
  <w:style w:type="paragraph" w:styleId="BodyText">
    <w:name w:val="Body Text"/>
    <w:basedOn w:val="BodyText2"/>
    <w:link w:val="BodyTextChar"/>
    <w:qFormat/>
    <w:rsid w:val="00D6729A"/>
    <w:pPr>
      <w:spacing w:before="120" w:after="120" w:line="259" w:lineRule="auto"/>
      <w:ind w:left="0" w:right="0"/>
      <w:jc w:val="both"/>
    </w:pPr>
    <w:rPr>
      <w:rFonts w:cs="Arial"/>
      <w:b w:val="0"/>
      <w:caps w:val="0"/>
      <w:color w:val="595959"/>
    </w:rPr>
  </w:style>
  <w:style w:type="character" w:customStyle="1" w:styleId="BodyTextChar">
    <w:name w:val="Body Text Char"/>
    <w:link w:val="BodyText"/>
    <w:rsid w:val="00D6729A"/>
    <w:rPr>
      <w:rFonts w:eastAsia="Times New Roman" w:cs="Arial"/>
      <w:color w:val="595959"/>
    </w:rPr>
  </w:style>
  <w:style w:type="paragraph" w:customStyle="1" w:styleId="H-Heading">
    <w:name w:val="H-Heading"/>
    <w:basedOn w:val="Normal"/>
    <w:link w:val="H-HeadingChar"/>
    <w:qFormat/>
    <w:rsid w:val="0086791A"/>
    <w:pPr>
      <w:pBdr>
        <w:bottom w:val="single" w:sz="8" w:space="1" w:color="76A05E"/>
      </w:pBdr>
      <w:spacing w:before="240" w:after="120"/>
    </w:pPr>
    <w:rPr>
      <w:b/>
      <w:caps/>
      <w:color w:val="76A05E"/>
      <w:sz w:val="24"/>
    </w:rPr>
  </w:style>
  <w:style w:type="character" w:customStyle="1" w:styleId="H-HeadingChar">
    <w:name w:val="H-Heading Char"/>
    <w:link w:val="H-Heading"/>
    <w:rsid w:val="0086791A"/>
    <w:rPr>
      <w:b/>
      <w:caps/>
      <w:color w:val="76A05E"/>
      <w:sz w:val="24"/>
      <w:szCs w:val="22"/>
    </w:rPr>
  </w:style>
  <w:style w:type="paragraph" w:styleId="Title">
    <w:name w:val="Title"/>
    <w:basedOn w:val="Normal"/>
    <w:next w:val="Normal"/>
    <w:link w:val="TitleChar"/>
    <w:uiPriority w:val="10"/>
    <w:qFormat/>
    <w:rsid w:val="00460A5D"/>
    <w:pPr>
      <w:spacing w:line="180" w:lineRule="auto"/>
      <w:outlineLvl w:val="0"/>
    </w:pPr>
    <w:rPr>
      <w:rFonts w:cs="Arial"/>
      <w:b/>
      <w:noProof/>
      <w:color w:val="0B6787"/>
      <w:sz w:val="40"/>
    </w:rPr>
  </w:style>
  <w:style w:type="character" w:customStyle="1" w:styleId="TitleChar">
    <w:name w:val="Title Char"/>
    <w:link w:val="Title"/>
    <w:uiPriority w:val="10"/>
    <w:rsid w:val="00460A5D"/>
    <w:rPr>
      <w:rFonts w:cs="Arial"/>
      <w:b/>
      <w:noProof/>
      <w:color w:val="0B6787"/>
      <w:sz w:val="40"/>
      <w:szCs w:val="22"/>
    </w:rPr>
  </w:style>
  <w:style w:type="paragraph" w:styleId="Header">
    <w:name w:val="header"/>
    <w:basedOn w:val="Normal"/>
    <w:link w:val="HeaderChar"/>
    <w:uiPriority w:val="99"/>
    <w:unhideWhenUsed/>
    <w:rsid w:val="00777DD9"/>
    <w:pPr>
      <w:tabs>
        <w:tab w:val="center" w:pos="4680"/>
        <w:tab w:val="right" w:pos="9360"/>
      </w:tabs>
      <w:spacing w:after="0" w:line="240" w:lineRule="auto"/>
    </w:pPr>
  </w:style>
  <w:style w:type="character" w:customStyle="1" w:styleId="HeaderChar">
    <w:name w:val="Header Char"/>
    <w:link w:val="Header"/>
    <w:uiPriority w:val="99"/>
    <w:rsid w:val="00777DD9"/>
    <w:rPr>
      <w:rFonts w:ascii="Calibri" w:eastAsia="Calibri" w:hAnsi="Calibri" w:cs="Times New Roman"/>
    </w:rPr>
  </w:style>
  <w:style w:type="paragraph" w:styleId="Footer">
    <w:name w:val="footer"/>
    <w:basedOn w:val="Normal"/>
    <w:link w:val="FooterChar"/>
    <w:uiPriority w:val="99"/>
    <w:unhideWhenUsed/>
    <w:rsid w:val="00777DD9"/>
    <w:pPr>
      <w:tabs>
        <w:tab w:val="center" w:pos="4680"/>
        <w:tab w:val="right" w:pos="9360"/>
      </w:tabs>
      <w:spacing w:after="0" w:line="240" w:lineRule="auto"/>
    </w:pPr>
  </w:style>
  <w:style w:type="character" w:customStyle="1" w:styleId="FooterChar">
    <w:name w:val="Footer Char"/>
    <w:link w:val="Footer"/>
    <w:uiPriority w:val="99"/>
    <w:rsid w:val="00777DD9"/>
    <w:rPr>
      <w:rFonts w:ascii="Calibri" w:eastAsia="Calibri" w:hAnsi="Calibri" w:cs="Times New Roman"/>
    </w:rPr>
  </w:style>
  <w:style w:type="character" w:styleId="SubtleReference">
    <w:name w:val="Subtle Reference"/>
    <w:uiPriority w:val="31"/>
    <w:rsid w:val="00BA0696"/>
    <w:rPr>
      <w:rFonts w:ascii="Calibri" w:hAnsi="Calibri"/>
      <w:dstrike w:val="0"/>
      <w:color w:val="7F7F7F"/>
      <w:sz w:val="16"/>
      <w:u w:val="none"/>
      <w:vertAlign w:val="baseline"/>
    </w:rPr>
  </w:style>
  <w:style w:type="table" w:styleId="TableGrid">
    <w:name w:val="Table Grid"/>
    <w:basedOn w:val="TableNormal"/>
    <w:uiPriority w:val="39"/>
    <w:rsid w:val="0023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heading">
    <w:name w:val="Text box heading"/>
    <w:basedOn w:val="BodyText2"/>
    <w:link w:val="TextboxheadingChar"/>
    <w:rsid w:val="002364F9"/>
    <w:pPr>
      <w:ind w:left="0" w:right="0"/>
    </w:pPr>
    <w:rPr>
      <w:color w:val="FFFFFF"/>
      <w:sz w:val="28"/>
    </w:rPr>
  </w:style>
  <w:style w:type="character" w:customStyle="1" w:styleId="TextboxheadingChar">
    <w:name w:val="Text box heading Char"/>
    <w:link w:val="Textboxheading"/>
    <w:rsid w:val="002364F9"/>
    <w:rPr>
      <w:rFonts w:ascii="Calibri" w:eastAsia="Times New Roman" w:hAnsi="Calibri" w:cs="Times New Roman"/>
      <w:b/>
      <w:caps/>
      <w:color w:val="FFFFFF"/>
      <w:sz w:val="28"/>
      <w:szCs w:val="20"/>
    </w:rPr>
  </w:style>
  <w:style w:type="paragraph" w:customStyle="1" w:styleId="BulletlistHighlight">
    <w:name w:val="Bullet list Highlight"/>
    <w:basedOn w:val="BodyText"/>
    <w:link w:val="BulletlistHighlightChar"/>
    <w:rsid w:val="0082527D"/>
    <w:pPr>
      <w:numPr>
        <w:numId w:val="1"/>
      </w:numPr>
    </w:pPr>
    <w:rPr>
      <w:color w:val="FFFFFF"/>
    </w:rPr>
  </w:style>
  <w:style w:type="character" w:customStyle="1" w:styleId="BulletlistHighlightChar">
    <w:name w:val="Bullet list Highlight Char"/>
    <w:link w:val="BulletlistHighlight"/>
    <w:rsid w:val="0082527D"/>
    <w:rPr>
      <w:rFonts w:ascii="Calibri" w:eastAsia="Times New Roman" w:hAnsi="Calibri" w:cs="Arial"/>
      <w:color w:val="FFFFFF"/>
      <w:sz w:val="20"/>
      <w:szCs w:val="20"/>
    </w:rPr>
  </w:style>
  <w:style w:type="paragraph" w:customStyle="1" w:styleId="BulletList">
    <w:name w:val="Bullet List"/>
    <w:basedOn w:val="BodyText"/>
    <w:link w:val="BulletListChar"/>
    <w:qFormat/>
    <w:rsid w:val="007201D3"/>
    <w:pPr>
      <w:numPr>
        <w:numId w:val="2"/>
      </w:numPr>
    </w:pPr>
  </w:style>
  <w:style w:type="character" w:customStyle="1" w:styleId="BulletListChar">
    <w:name w:val="Bullet List Char"/>
    <w:link w:val="BulletList"/>
    <w:rsid w:val="007201D3"/>
    <w:rPr>
      <w:rFonts w:eastAsia="Times New Roman" w:cs="Arial"/>
      <w:color w:val="595959"/>
      <w:sz w:val="22"/>
    </w:rPr>
  </w:style>
  <w:style w:type="paragraph" w:customStyle="1" w:styleId="H-Text">
    <w:name w:val="H-Text"/>
    <w:basedOn w:val="Heading2"/>
    <w:link w:val="H-TextChar"/>
    <w:qFormat/>
    <w:rsid w:val="00281307"/>
    <w:pPr>
      <w:spacing w:before="120"/>
    </w:pPr>
    <w:rPr>
      <w:b w:val="0"/>
      <w:i w:val="0"/>
      <w:sz w:val="22"/>
    </w:rPr>
  </w:style>
  <w:style w:type="character" w:customStyle="1" w:styleId="Heading3Char">
    <w:name w:val="Heading 3 Char"/>
    <w:link w:val="Heading3"/>
    <w:uiPriority w:val="9"/>
    <w:rsid w:val="0086791A"/>
    <w:rPr>
      <w:i/>
      <w:color w:val="595959"/>
      <w:sz w:val="24"/>
      <w:szCs w:val="22"/>
    </w:rPr>
  </w:style>
  <w:style w:type="character" w:customStyle="1" w:styleId="H-TextChar">
    <w:name w:val="H-Text Char"/>
    <w:link w:val="H-Text"/>
    <w:rsid w:val="00281307"/>
    <w:rPr>
      <w:color w:val="595959"/>
      <w:sz w:val="22"/>
      <w:szCs w:val="22"/>
    </w:rPr>
  </w:style>
  <w:style w:type="paragraph" w:customStyle="1" w:styleId="T-Heading">
    <w:name w:val="T-Heading"/>
    <w:basedOn w:val="Normal"/>
    <w:link w:val="T-HeadingChar"/>
    <w:qFormat/>
    <w:rsid w:val="0084048C"/>
    <w:pPr>
      <w:spacing w:before="120" w:after="120" w:line="240" w:lineRule="auto"/>
      <w:jc w:val="center"/>
    </w:pPr>
    <w:rPr>
      <w:b/>
      <w:caps/>
      <w:color w:val="FFFFFF"/>
      <w:sz w:val="28"/>
      <w:szCs w:val="20"/>
    </w:rPr>
  </w:style>
  <w:style w:type="paragraph" w:customStyle="1" w:styleId="T-Text">
    <w:name w:val="T-Text"/>
    <w:basedOn w:val="Normal"/>
    <w:link w:val="T-TextChar"/>
    <w:qFormat/>
    <w:rsid w:val="007201D3"/>
    <w:pPr>
      <w:spacing w:before="120" w:after="120" w:line="240" w:lineRule="auto"/>
    </w:pPr>
    <w:rPr>
      <w:sz w:val="22"/>
      <w:szCs w:val="20"/>
    </w:rPr>
  </w:style>
  <w:style w:type="character" w:customStyle="1" w:styleId="T-HeadingChar">
    <w:name w:val="T-Heading Char"/>
    <w:link w:val="T-Heading"/>
    <w:rsid w:val="0084048C"/>
    <w:rPr>
      <w:b/>
      <w:caps/>
      <w:color w:val="FFFFFF"/>
      <w:sz w:val="28"/>
      <w:szCs w:val="20"/>
    </w:rPr>
  </w:style>
  <w:style w:type="paragraph" w:styleId="ListParagraph">
    <w:name w:val="List Paragraph"/>
    <w:basedOn w:val="Normal"/>
    <w:link w:val="ListParagraphChar"/>
    <w:uiPriority w:val="34"/>
    <w:rsid w:val="004D0A73"/>
    <w:pPr>
      <w:ind w:left="720"/>
      <w:contextualSpacing/>
    </w:pPr>
  </w:style>
  <w:style w:type="character" w:customStyle="1" w:styleId="T-TextChar">
    <w:name w:val="T-Text Char"/>
    <w:link w:val="T-Text"/>
    <w:rsid w:val="007201D3"/>
    <w:rPr>
      <w:color w:val="595959"/>
      <w:sz w:val="22"/>
    </w:rPr>
  </w:style>
  <w:style w:type="paragraph" w:customStyle="1" w:styleId="T-BulletList">
    <w:name w:val="T-Bullet List"/>
    <w:basedOn w:val="ListParagraph"/>
    <w:link w:val="T-BulletListChar"/>
    <w:qFormat/>
    <w:rsid w:val="007201D3"/>
    <w:pPr>
      <w:numPr>
        <w:numId w:val="11"/>
      </w:numPr>
      <w:spacing w:before="120" w:after="120" w:line="240" w:lineRule="auto"/>
      <w:contextualSpacing w:val="0"/>
    </w:pPr>
    <w:rPr>
      <w:sz w:val="22"/>
      <w:szCs w:val="20"/>
    </w:rPr>
  </w:style>
  <w:style w:type="paragraph" w:customStyle="1" w:styleId="H-BulletList">
    <w:name w:val="H-Bullet List"/>
    <w:basedOn w:val="T-BulletList"/>
    <w:link w:val="H-BulletListChar"/>
    <w:qFormat/>
    <w:rsid w:val="007201D3"/>
    <w:pPr>
      <w:numPr>
        <w:numId w:val="3"/>
      </w:numPr>
    </w:pPr>
    <w:rPr>
      <w:szCs w:val="24"/>
    </w:rPr>
  </w:style>
  <w:style w:type="character" w:customStyle="1" w:styleId="ListParagraphChar">
    <w:name w:val="List Paragraph Char"/>
    <w:link w:val="ListParagraph"/>
    <w:uiPriority w:val="34"/>
    <w:rsid w:val="003774F7"/>
    <w:rPr>
      <w:rFonts w:ascii="Calibri" w:eastAsia="Calibri" w:hAnsi="Calibri" w:cs="Times New Roman"/>
    </w:rPr>
  </w:style>
  <w:style w:type="character" w:customStyle="1" w:styleId="T-BulletListChar">
    <w:name w:val="T-Bullet List Char"/>
    <w:link w:val="T-BulletList"/>
    <w:rsid w:val="007201D3"/>
    <w:rPr>
      <w:color w:val="595959"/>
      <w:sz w:val="22"/>
    </w:rPr>
  </w:style>
  <w:style w:type="paragraph" w:customStyle="1" w:styleId="LR-Heading">
    <w:name w:val="LR-Heading"/>
    <w:basedOn w:val="Textboxheading"/>
    <w:link w:val="LR-HeadingChar"/>
    <w:qFormat/>
    <w:rsid w:val="007201D3"/>
    <w:pPr>
      <w:spacing w:before="120" w:after="120"/>
    </w:pPr>
    <w:rPr>
      <w:color w:val="595959"/>
    </w:rPr>
  </w:style>
  <w:style w:type="character" w:customStyle="1" w:styleId="H-BulletListChar">
    <w:name w:val="H-Bullet List Char"/>
    <w:link w:val="H-BulletList"/>
    <w:rsid w:val="007201D3"/>
    <w:rPr>
      <w:color w:val="595959"/>
      <w:sz w:val="22"/>
      <w:szCs w:val="24"/>
    </w:rPr>
  </w:style>
  <w:style w:type="paragraph" w:customStyle="1" w:styleId="LR-Text">
    <w:name w:val="LR-Text"/>
    <w:basedOn w:val="BulletlistHighlight"/>
    <w:link w:val="LR-TextChar"/>
    <w:qFormat/>
    <w:rsid w:val="007201D3"/>
    <w:pPr>
      <w:numPr>
        <w:numId w:val="0"/>
      </w:numPr>
    </w:pPr>
    <w:rPr>
      <w:color w:val="595959"/>
    </w:rPr>
  </w:style>
  <w:style w:type="character" w:customStyle="1" w:styleId="LR-HeadingChar">
    <w:name w:val="LR-Heading Char"/>
    <w:link w:val="LR-Heading"/>
    <w:rsid w:val="007201D3"/>
    <w:rPr>
      <w:rFonts w:eastAsia="Times New Roman"/>
      <w:b/>
      <w:caps/>
      <w:color w:val="595959"/>
      <w:sz w:val="28"/>
    </w:rPr>
  </w:style>
  <w:style w:type="paragraph" w:customStyle="1" w:styleId="LR-BulletList">
    <w:name w:val="LR-Bullet List"/>
    <w:basedOn w:val="BulletlistHighlight"/>
    <w:link w:val="LR-BulletListChar"/>
    <w:qFormat/>
    <w:rsid w:val="00D6729A"/>
    <w:rPr>
      <w:color w:val="595959"/>
      <w:sz w:val="22"/>
    </w:rPr>
  </w:style>
  <w:style w:type="character" w:customStyle="1" w:styleId="LR-TextChar">
    <w:name w:val="LR-Text Char"/>
    <w:link w:val="LR-Text"/>
    <w:rsid w:val="007201D3"/>
    <w:rPr>
      <w:rFonts w:eastAsia="Times New Roman" w:cs="Arial"/>
      <w:color w:val="595959"/>
      <w:sz w:val="22"/>
    </w:rPr>
  </w:style>
  <w:style w:type="paragraph" w:customStyle="1" w:styleId="FooterText">
    <w:name w:val="Footer Text"/>
    <w:basedOn w:val="Normal"/>
    <w:link w:val="FooterTextChar"/>
    <w:rsid w:val="003774F7"/>
    <w:rPr>
      <w:rFonts w:ascii="Verdana" w:hAnsi="Verdana"/>
    </w:rPr>
  </w:style>
  <w:style w:type="character" w:customStyle="1" w:styleId="LR-BulletListChar">
    <w:name w:val="LR-Bullet List Char"/>
    <w:link w:val="LR-BulletList"/>
    <w:rsid w:val="00D6729A"/>
    <w:rPr>
      <w:rFonts w:eastAsia="Times New Roman" w:cs="Arial"/>
      <w:color w:val="595959"/>
      <w:sz w:val="22"/>
    </w:rPr>
  </w:style>
  <w:style w:type="paragraph" w:customStyle="1" w:styleId="Providedby">
    <w:name w:val="Provided by"/>
    <w:basedOn w:val="BodyText"/>
    <w:link w:val="ProvidedbyChar"/>
    <w:rsid w:val="003774F7"/>
    <w:pPr>
      <w:ind w:right="-10"/>
    </w:pPr>
    <w:rPr>
      <w:b/>
      <w:noProof/>
      <w:color w:val="BC5D58"/>
    </w:rPr>
  </w:style>
  <w:style w:type="character" w:customStyle="1" w:styleId="FooterTextChar">
    <w:name w:val="Footer Text Char"/>
    <w:link w:val="FooterText"/>
    <w:rsid w:val="003774F7"/>
    <w:rPr>
      <w:rFonts w:ascii="Verdana" w:eastAsia="Calibri" w:hAnsi="Verdana" w:cs="Times New Roman"/>
    </w:rPr>
  </w:style>
  <w:style w:type="character" w:customStyle="1" w:styleId="ProvidedbyChar">
    <w:name w:val="Provided by Char"/>
    <w:link w:val="Providedby"/>
    <w:rsid w:val="003774F7"/>
    <w:rPr>
      <w:rFonts w:ascii="Calibri" w:eastAsia="Times New Roman" w:hAnsi="Calibri" w:cs="Arial"/>
      <w:b/>
      <w:noProof/>
      <w:color w:val="BC5D58"/>
      <w:sz w:val="20"/>
      <w:szCs w:val="20"/>
    </w:rPr>
  </w:style>
  <w:style w:type="paragraph" w:customStyle="1" w:styleId="MergeField">
    <w:name w:val="Merge Field"/>
    <w:basedOn w:val="Providedby"/>
    <w:link w:val="MergeFieldChar"/>
    <w:qFormat/>
    <w:rsid w:val="0086791A"/>
    <w:rPr>
      <w:color w:val="76A05E"/>
    </w:rPr>
  </w:style>
  <w:style w:type="paragraph" w:customStyle="1" w:styleId="Numbering">
    <w:name w:val="Numbering"/>
    <w:basedOn w:val="BodyText"/>
    <w:link w:val="NumberingChar"/>
    <w:qFormat/>
    <w:rsid w:val="00F0224A"/>
    <w:pPr>
      <w:numPr>
        <w:numId w:val="10"/>
      </w:numPr>
    </w:pPr>
  </w:style>
  <w:style w:type="character" w:customStyle="1" w:styleId="MergeFieldChar">
    <w:name w:val="Merge Field Char"/>
    <w:link w:val="MergeField"/>
    <w:rsid w:val="0086791A"/>
    <w:rPr>
      <w:rFonts w:ascii="Calibri" w:eastAsia="Times New Roman" w:hAnsi="Calibri" w:cs="Arial"/>
      <w:b/>
      <w:noProof/>
      <w:color w:val="76A05E"/>
      <w:sz w:val="22"/>
      <w:szCs w:val="20"/>
    </w:rPr>
  </w:style>
  <w:style w:type="paragraph" w:customStyle="1" w:styleId="Disclaimer">
    <w:name w:val="Disclaimer"/>
    <w:basedOn w:val="FooterText"/>
    <w:link w:val="DisclaimerChar"/>
    <w:qFormat/>
    <w:rsid w:val="00947E11"/>
    <w:rPr>
      <w:color w:val="7F7F7F"/>
      <w:sz w:val="16"/>
    </w:rPr>
  </w:style>
  <w:style w:type="character" w:customStyle="1" w:styleId="NumberingChar">
    <w:name w:val="Numbering Char"/>
    <w:link w:val="Numbering"/>
    <w:rsid w:val="00F0224A"/>
    <w:rPr>
      <w:rFonts w:eastAsia="Times New Roman" w:cs="Arial"/>
      <w:color w:val="595959"/>
      <w:sz w:val="22"/>
    </w:rPr>
  </w:style>
  <w:style w:type="paragraph" w:customStyle="1" w:styleId="Style1">
    <w:name w:val="Style1"/>
    <w:basedOn w:val="Normal"/>
    <w:link w:val="Style1Char"/>
    <w:rsid w:val="00F447F0"/>
    <w:pPr>
      <w:pBdr>
        <w:bottom w:val="single" w:sz="18" w:space="1" w:color="76A05E"/>
      </w:pBdr>
      <w:spacing w:line="312" w:lineRule="auto"/>
    </w:pPr>
    <w:rPr>
      <w:b/>
      <w:i/>
      <w:color w:val="76A05E"/>
      <w:sz w:val="32"/>
      <w:szCs w:val="26"/>
    </w:rPr>
  </w:style>
  <w:style w:type="character" w:customStyle="1" w:styleId="DisclaimerChar">
    <w:name w:val="Disclaimer Char"/>
    <w:link w:val="Disclaimer"/>
    <w:rsid w:val="00947E11"/>
    <w:rPr>
      <w:rFonts w:ascii="Verdana" w:eastAsia="Calibri" w:hAnsi="Verdana" w:cs="Times New Roman"/>
      <w:color w:val="7F7F7F"/>
      <w:sz w:val="16"/>
    </w:rPr>
  </w:style>
  <w:style w:type="paragraph" w:styleId="Subtitle">
    <w:name w:val="Subtitle"/>
    <w:basedOn w:val="Normal"/>
    <w:next w:val="Normal"/>
    <w:link w:val="SubtitleChar"/>
    <w:uiPriority w:val="11"/>
    <w:rsid w:val="009E2E89"/>
    <w:pPr>
      <w:spacing w:after="60"/>
      <w:jc w:val="center"/>
      <w:outlineLvl w:val="1"/>
    </w:pPr>
    <w:rPr>
      <w:rFonts w:ascii="Calibri Light" w:eastAsia="Times New Roman" w:hAnsi="Calibri Light"/>
      <w:sz w:val="24"/>
      <w:szCs w:val="24"/>
    </w:rPr>
  </w:style>
  <w:style w:type="character" w:customStyle="1" w:styleId="Style1Char">
    <w:name w:val="Style1 Char"/>
    <w:link w:val="Style1"/>
    <w:rsid w:val="00F447F0"/>
    <w:rPr>
      <w:b/>
      <w:i/>
      <w:color w:val="76A05E"/>
      <w:sz w:val="32"/>
      <w:szCs w:val="26"/>
    </w:rPr>
  </w:style>
  <w:style w:type="character" w:customStyle="1" w:styleId="SubtitleChar">
    <w:name w:val="Subtitle Char"/>
    <w:link w:val="Subtitle"/>
    <w:uiPriority w:val="11"/>
    <w:rsid w:val="009E2E89"/>
    <w:rPr>
      <w:rFonts w:ascii="Calibri Light" w:eastAsia="Times New Roman" w:hAnsi="Calibri Light" w:cs="Times New Roman"/>
      <w:color w:val="595959"/>
      <w:sz w:val="24"/>
      <w:szCs w:val="24"/>
    </w:rPr>
  </w:style>
  <w:style w:type="character" w:styleId="Hyperlink">
    <w:name w:val="Hyperlink"/>
    <w:uiPriority w:val="99"/>
    <w:unhideWhenUsed/>
    <w:rsid w:val="0042186B"/>
    <w:rPr>
      <w:color w:val="0563C1"/>
      <w:u w:val="single"/>
    </w:rPr>
  </w:style>
  <w:style w:type="character" w:styleId="FollowedHyperlink">
    <w:name w:val="FollowedHyperlink"/>
    <w:uiPriority w:val="99"/>
    <w:semiHidden/>
    <w:unhideWhenUsed/>
    <w:rsid w:val="008A2045"/>
    <w:rPr>
      <w:color w:val="954F72"/>
      <w:u w:val="single"/>
    </w:rPr>
  </w:style>
  <w:style w:type="paragraph" w:styleId="BalloonText">
    <w:name w:val="Balloon Text"/>
    <w:basedOn w:val="Normal"/>
    <w:link w:val="BalloonTextChar"/>
    <w:uiPriority w:val="99"/>
    <w:semiHidden/>
    <w:unhideWhenUsed/>
    <w:rsid w:val="00CD5D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D5DBB"/>
    <w:rPr>
      <w:rFonts w:ascii="Segoe UI" w:hAnsi="Segoe UI" w:cs="Segoe UI"/>
      <w:color w:val="595959"/>
      <w:sz w:val="18"/>
      <w:szCs w:val="18"/>
    </w:rPr>
  </w:style>
  <w:style w:type="paragraph" w:styleId="Revision">
    <w:name w:val="Revision"/>
    <w:hidden/>
    <w:uiPriority w:val="99"/>
    <w:semiHidden/>
    <w:rsid w:val="00545F60"/>
    <w:rPr>
      <w:color w:val="595959"/>
      <w:szCs w:val="22"/>
    </w:rPr>
  </w:style>
  <w:style w:type="paragraph" w:customStyle="1" w:styleId="Overview">
    <w:name w:val="Overview"/>
    <w:basedOn w:val="BodyText"/>
    <w:link w:val="OverviewChar"/>
    <w:qFormat/>
    <w:rsid w:val="00D6729A"/>
    <w:rPr>
      <w:sz w:val="22"/>
    </w:rPr>
  </w:style>
  <w:style w:type="character" w:customStyle="1" w:styleId="OverviewChar">
    <w:name w:val="Overview Char"/>
    <w:link w:val="Overview"/>
    <w:rsid w:val="00D6729A"/>
    <w:rPr>
      <w:rFonts w:eastAsia="Times New Roman" w:cs="Arial"/>
      <w:color w:val="595959"/>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osha.gov/cranes-derricks/" TargetMode="External"/><Relationship Id="rId18" Type="http://schemas.openxmlformats.org/officeDocument/2006/relationships/hyperlink" Target="https://www.osha.gov/cranes-derricks/small_entity.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ederalregister.gov/documents/2017/11/09/2017-24349/cranes-and-derricks-in-construction-operator-certification-extension?utm_campaign=subscription%20mailing%20list&amp;utm_source=federalregister.gov&amp;utm_medium=email" TargetMode="External"/><Relationship Id="rId17" Type="http://schemas.openxmlformats.org/officeDocument/2006/relationships/hyperlink" Target="https://www.osha.gov/cranes-derricks/faq.html" TargetMode="External"/><Relationship Id="rId2" Type="http://schemas.openxmlformats.org/officeDocument/2006/relationships/numbering" Target="numbering.xml"/><Relationship Id="rId16" Type="http://schemas.openxmlformats.org/officeDocument/2006/relationships/hyperlink" Target="https://www.osha.gov/cranes-derrick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osha.gov/cranes-derricks/small_entity.html"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sha.gov/cranes-derricks/faq.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6AE-F49C-4D24-8284-100E0B4A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Caitlin Curtin</cp:lastModifiedBy>
  <cp:revision>2</cp:revision>
  <dcterms:created xsi:type="dcterms:W3CDTF">2019-05-21T16:10:00Z</dcterms:created>
  <dcterms:modified xsi:type="dcterms:W3CDTF">2019-05-21T16:10:00Z</dcterms:modified>
</cp:coreProperties>
</file>