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7A06" w14:textId="77777777" w:rsidR="00777DD9" w:rsidRDefault="009448AF" w:rsidP="000B38BC">
      <w:pPr>
        <w:pStyle w:val="BodyText"/>
        <w:sectPr w:rsidR="00777DD9" w:rsidSect="009C43ED">
          <w:headerReference w:type="default" r:id="rId8"/>
          <w:footerReference w:type="default" r:id="rId9"/>
          <w:pgSz w:w="12240" w:h="15840"/>
          <w:pgMar w:top="4410" w:right="720" w:bottom="180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 wp14:anchorId="08F549FF" wp14:editId="45248032">
            <wp:simplePos x="0" y="0"/>
            <wp:positionH relativeFrom="margin">
              <wp:posOffset>5181600</wp:posOffset>
            </wp:positionH>
            <wp:positionV relativeFrom="margin">
              <wp:posOffset>5715000</wp:posOffset>
            </wp:positionV>
            <wp:extent cx="1645923" cy="1120142"/>
            <wp:effectExtent l="0" t="0" r="0" b="0"/>
            <wp:wrapNone/>
            <wp:docPr id="100018" name="Picture 100018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922062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6DFB9" wp14:editId="33D182B7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4480560" cy="352425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B562A4" w14:textId="77777777" w:rsidR="009C43ED" w:rsidRPr="00100D01" w:rsidRDefault="009448AF" w:rsidP="000B38BC">
                            <w:pPr>
                              <w:pStyle w:val="MergeField"/>
                            </w:pPr>
                            <w:r w:rsidRPr="00100D01">
                              <w:t>Provided by Corkill Insurance Agency,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DF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3.75pt;width:352.8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" filled="f" stroked="f" strokeweight=".5pt">
                <v:textbox>
                  <w:txbxContent>
                    <w:p w14:paraId="08B562A4" w14:textId="77777777" w:rsidR="009C43ED" w:rsidRPr="00100D01" w:rsidRDefault="009448AF" w:rsidP="000B38BC">
                      <w:pPr>
                        <w:pStyle w:val="MergeField"/>
                      </w:pPr>
                      <w:r w:rsidRPr="00100D01">
                        <w:t>Provided by Corkill Insurance Agency,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22960" distL="365760" distR="182880" simplePos="0" relativeHeight="251659264" behindDoc="1" locked="0" layoutInCell="1" allowOverlap="1" wp14:anchorId="07907D67" wp14:editId="4D278081">
                <wp:simplePos x="0" y="0"/>
                <wp:positionH relativeFrom="column">
                  <wp:posOffset>4476750</wp:posOffset>
                </wp:positionH>
                <wp:positionV relativeFrom="page">
                  <wp:posOffset>3080385</wp:posOffset>
                </wp:positionV>
                <wp:extent cx="2423160" cy="5312410"/>
                <wp:effectExtent l="0" t="0" r="0" b="254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31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32BB6A" w14:textId="77777777" w:rsidR="00777DD9" w:rsidRDefault="009448AF" w:rsidP="000B38BC">
                            <w:r w:rsidRPr="00D010B0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66FEB89D" wp14:editId="54FD4AEE">
                                  <wp:extent cx="2228850" cy="371475"/>
                                  <wp:effectExtent l="0" t="0" r="0" b="9525"/>
                                  <wp:docPr id="165025410" name="Picture 4" descr="C:\Users\singleton\Desktop\Projects\Compliabce Bulletin_Leg Brief_Reg Update\Compliance Bulletin\Highlights_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8394966" name="Picture 4" descr="C:\Users\singleton\Desktop\Projects\Compliabce Bulletin_Leg Brief_Reg Update\Compliance Bulletin\Highlights_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4CB77D" w14:textId="77777777" w:rsidR="00777DD9" w:rsidRPr="00E67516" w:rsidRDefault="009448AF" w:rsidP="009676B5">
                            <w:pPr>
                              <w:pStyle w:val="H-Heading"/>
                            </w:pPr>
                            <w:r>
                              <w:t>Final rule basics</w:t>
                            </w:r>
                          </w:p>
                          <w:p w14:paraId="1727F20E" w14:textId="77777777" w:rsidR="00777DD9" w:rsidRPr="00944BC0" w:rsidRDefault="009448AF" w:rsidP="00944BC0">
                            <w:pPr>
                              <w:pStyle w:val="H-BulletList"/>
                            </w:pPr>
                            <w:r w:rsidRPr="00944BC0">
                              <w:t>Provide a safer environment for the use of hois</w:t>
                            </w:r>
                            <w:r w:rsidRPr="00944BC0">
                              <w:t xml:space="preserve">ting equipment. </w:t>
                            </w:r>
                          </w:p>
                          <w:p w14:paraId="727DCD0A" w14:textId="77777777" w:rsidR="00E67516" w:rsidRPr="00944BC0" w:rsidRDefault="009448AF" w:rsidP="00944BC0">
                            <w:pPr>
                              <w:pStyle w:val="H-BulletList"/>
                            </w:pPr>
                            <w:r w:rsidRPr="00944BC0">
                              <w:t xml:space="preserve">Prevent the most common hazards in the assembly, disassembly and operation of cranes and derricks. </w:t>
                            </w:r>
                          </w:p>
                          <w:p w14:paraId="5F2FDD2F" w14:textId="77777777" w:rsidR="00777DD9" w:rsidRPr="000D733F" w:rsidRDefault="009448AF" w:rsidP="000B38BC">
                            <w:pPr>
                              <w:pStyle w:val="H-Heading"/>
                            </w:pPr>
                            <w:r>
                              <w:t xml:space="preserve">Power line safety </w:t>
                            </w:r>
                          </w:p>
                          <w:p w14:paraId="4A454B49" w14:textId="77777777" w:rsidR="00777DD9" w:rsidRPr="00835B0E" w:rsidRDefault="009448AF" w:rsidP="00EA3676">
                            <w:pPr>
                              <w:pStyle w:val="H-BulletList"/>
                            </w:pPr>
                            <w:r>
                              <w:t>De-energize power lines</w:t>
                            </w:r>
                            <w:r w:rsidR="00C23CD3">
                              <w:t>.</w:t>
                            </w:r>
                          </w:p>
                          <w:p w14:paraId="5F6608FB" w14:textId="77777777" w:rsidR="000A79F3" w:rsidRDefault="009448AF" w:rsidP="00EA3676">
                            <w:pPr>
                              <w:pStyle w:val="H-BulletList"/>
                            </w:pPr>
                            <w:r>
                              <w:t>Take encroachment precautions to prevent contact with power lines</w:t>
                            </w:r>
                            <w:r w:rsidR="00C23CD3">
                              <w:t>.</w:t>
                            </w:r>
                          </w:p>
                          <w:p w14:paraId="687380BD" w14:textId="77777777" w:rsidR="00777DD9" w:rsidRPr="00E461FB" w:rsidRDefault="009448AF" w:rsidP="00EA3676">
                            <w:pPr>
                              <w:pStyle w:val="H-BulletList"/>
                            </w:pPr>
                            <w:r>
                              <w:t xml:space="preserve">Determine </w:t>
                            </w:r>
                            <w:r>
                              <w:t>appropriate clearance distance</w:t>
                            </w:r>
                            <w:r w:rsidR="00C23CD3">
                              <w:t>.</w:t>
                            </w:r>
                          </w:p>
                          <w:p w14:paraId="321EC0A8" w14:textId="77777777" w:rsidR="00777DD9" w:rsidRPr="00E461FB" w:rsidRDefault="00777DD9" w:rsidP="000B38BC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7D67" id="Text Box 122" o:spid="_x0000_s1027" type="#_x0000_t202" style="position:absolute;left:0;text-align:left;margin-left:352.5pt;margin-top:242.55pt;width:190.8pt;height:418.3pt;z-index:-251657216;visibility:visible;mso-wrap-style:square;mso-width-percent:0;mso-height-percent:0;mso-wrap-distance-left:28.8pt;mso-wrap-distance-top:0;mso-wrap-distance-right:14.4pt;mso-wrap-distance-bottom:64.8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" filled="f" stroked="f" strokeweight=".5pt">
                <v:textbox>
                  <w:txbxContent>
                    <w:p w14:paraId="5C32BB6A" w14:textId="77777777" w:rsidR="00777DD9" w:rsidRDefault="009448AF" w:rsidP="000B38BC">
                      <w:r w:rsidRPr="00D010B0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66FEB89D" wp14:editId="54FD4AEE">
                            <wp:extent cx="2228850" cy="371475"/>
                            <wp:effectExtent l="0" t="0" r="0" b="9525"/>
                            <wp:docPr id="165025410" name="Picture 4" descr="C:\Users\singleton\Desktop\Projects\Compliabce Bulletin_Leg Brief_Reg Update\Compliance Bulletin\Highlights_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8394966" name="Picture 4" descr="C:\Users\singleton\Desktop\Projects\Compliabce Bulletin_Leg Brief_Reg Update\Compliance Bulletin\Highlights_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4CB77D" w14:textId="77777777" w:rsidR="00777DD9" w:rsidRPr="00E67516" w:rsidRDefault="009448AF" w:rsidP="009676B5">
                      <w:pPr>
                        <w:pStyle w:val="H-Heading"/>
                      </w:pPr>
                      <w:r>
                        <w:t>Final rule basics</w:t>
                      </w:r>
                    </w:p>
                    <w:p w14:paraId="1727F20E" w14:textId="77777777" w:rsidR="00777DD9" w:rsidRPr="00944BC0" w:rsidRDefault="009448AF" w:rsidP="00944BC0">
                      <w:pPr>
                        <w:pStyle w:val="H-BulletList"/>
                      </w:pPr>
                      <w:r w:rsidRPr="00944BC0">
                        <w:t>Provide a safer environment for the use of hois</w:t>
                      </w:r>
                      <w:r w:rsidRPr="00944BC0">
                        <w:t xml:space="preserve">ting equipment. </w:t>
                      </w:r>
                    </w:p>
                    <w:p w14:paraId="727DCD0A" w14:textId="77777777" w:rsidR="00E67516" w:rsidRPr="00944BC0" w:rsidRDefault="009448AF" w:rsidP="00944BC0">
                      <w:pPr>
                        <w:pStyle w:val="H-BulletList"/>
                      </w:pPr>
                      <w:r w:rsidRPr="00944BC0">
                        <w:t xml:space="preserve">Prevent the most common hazards in the assembly, disassembly and operation of cranes and derricks. </w:t>
                      </w:r>
                    </w:p>
                    <w:p w14:paraId="5F2FDD2F" w14:textId="77777777" w:rsidR="00777DD9" w:rsidRPr="000D733F" w:rsidRDefault="009448AF" w:rsidP="000B38BC">
                      <w:pPr>
                        <w:pStyle w:val="H-Heading"/>
                      </w:pPr>
                      <w:r>
                        <w:t xml:space="preserve">Power line safety </w:t>
                      </w:r>
                    </w:p>
                    <w:p w14:paraId="4A454B49" w14:textId="77777777" w:rsidR="00777DD9" w:rsidRPr="00835B0E" w:rsidRDefault="009448AF" w:rsidP="00EA3676">
                      <w:pPr>
                        <w:pStyle w:val="H-BulletList"/>
                      </w:pPr>
                      <w:r>
                        <w:t>De-energize power lines</w:t>
                      </w:r>
                      <w:r w:rsidR="00C23CD3">
                        <w:t>.</w:t>
                      </w:r>
                    </w:p>
                    <w:p w14:paraId="5F6608FB" w14:textId="77777777" w:rsidR="000A79F3" w:rsidRDefault="009448AF" w:rsidP="00EA3676">
                      <w:pPr>
                        <w:pStyle w:val="H-BulletList"/>
                      </w:pPr>
                      <w:r>
                        <w:t>Take encroachment precautions to prevent contact with power lines</w:t>
                      </w:r>
                      <w:r w:rsidR="00C23CD3">
                        <w:t>.</w:t>
                      </w:r>
                    </w:p>
                    <w:p w14:paraId="687380BD" w14:textId="77777777" w:rsidR="00777DD9" w:rsidRPr="00E461FB" w:rsidRDefault="009448AF" w:rsidP="00EA3676">
                      <w:pPr>
                        <w:pStyle w:val="H-BulletList"/>
                      </w:pPr>
                      <w:r>
                        <w:t xml:space="preserve">Determine </w:t>
                      </w:r>
                      <w:r>
                        <w:t>appropriate clearance distance</w:t>
                      </w:r>
                      <w:r w:rsidR="00C23CD3">
                        <w:t>.</w:t>
                      </w:r>
                    </w:p>
                    <w:p w14:paraId="321EC0A8" w14:textId="77777777" w:rsidR="00777DD9" w:rsidRPr="00E461FB" w:rsidRDefault="00777DD9" w:rsidP="000B38BC"/>
                  </w:txbxContent>
                </v:textbox>
                <w10:wrap type="square" anchory="page"/>
              </v:shape>
            </w:pict>
          </mc:Fallback>
        </mc:AlternateContent>
      </w:r>
    </w:p>
    <w:p w14:paraId="1E25ECDB" w14:textId="77777777" w:rsidR="008C1B37" w:rsidRDefault="009448AF" w:rsidP="00525A2C">
      <w:pPr>
        <w:pStyle w:val="Title"/>
        <w:jc w:val="left"/>
      </w:pPr>
      <w:r>
        <w:t xml:space="preserve">OSHA </w:t>
      </w:r>
      <w:r w:rsidR="000B3338">
        <w:t xml:space="preserve">Cranes and Derricks </w:t>
      </w:r>
      <w:r w:rsidR="00630B93">
        <w:t>in Construction</w:t>
      </w:r>
      <w:r w:rsidR="00944BC0">
        <w:t xml:space="preserve"> – Power Line Safety</w:t>
      </w:r>
    </w:p>
    <w:p w14:paraId="2FFC5BA3" w14:textId="77777777" w:rsidR="00D84528" w:rsidRPr="00EA3676" w:rsidRDefault="009448AF" w:rsidP="003A229B">
      <w:pPr>
        <w:pStyle w:val="Overviewtext"/>
      </w:pPr>
      <w:r w:rsidRPr="004B0FEF">
        <w:rPr>
          <w:rStyle w:val="H-TextChar"/>
          <w:sz w:val="22"/>
        </w:rPr>
        <w:t xml:space="preserve">OSHA’s </w:t>
      </w:r>
      <w:hyperlink r:id="rId12" w:history="1">
        <w:r w:rsidRPr="004B0FEF">
          <w:rPr>
            <w:rStyle w:val="H-TextChar"/>
            <w:sz w:val="22"/>
          </w:rPr>
          <w:t>final rule on cranes and derricks</w:t>
        </w:r>
      </w:hyperlink>
      <w:r w:rsidRPr="004B0FEF">
        <w:rPr>
          <w:rStyle w:val="H-TextChar"/>
          <w:sz w:val="22"/>
        </w:rPr>
        <w:t xml:space="preserve"> </w:t>
      </w:r>
      <w:r w:rsidRPr="003A229B">
        <w:rPr>
          <w:rStyle w:val="H-TextChar"/>
          <w:sz w:val="22"/>
          <w:szCs w:val="22"/>
        </w:rPr>
        <w:t>was issued in 2010. The rule was</w:t>
      </w:r>
      <w:r w:rsidRPr="004B0FEF">
        <w:rPr>
          <w:rStyle w:val="H-TextChar"/>
          <w:sz w:val="22"/>
        </w:rPr>
        <w:t xml:space="preserve"> designed</w:t>
      </w:r>
      <w:r w:rsidRPr="003A229B">
        <w:t xml:space="preserve"> to provide a safer environment for the use of hoisting equipment. </w:t>
      </w:r>
    </w:p>
    <w:p w14:paraId="7F543A07" w14:textId="77777777" w:rsidR="008C1B37" w:rsidRPr="003A229B" w:rsidRDefault="009448AF" w:rsidP="003A229B">
      <w:pPr>
        <w:pStyle w:val="Overviewtext"/>
      </w:pPr>
      <w:r w:rsidRPr="003A229B">
        <w:rPr>
          <w:rStyle w:val="H-TextChar"/>
          <w:sz w:val="22"/>
          <w:szCs w:val="22"/>
        </w:rPr>
        <w:t>Operat</w:t>
      </w:r>
      <w:r w:rsidRPr="003A229B">
        <w:rPr>
          <w:rStyle w:val="H-TextChar"/>
          <w:sz w:val="22"/>
          <w:szCs w:val="22"/>
        </w:rPr>
        <w:t>ing cranes and derricks poses significant safety issues</w:t>
      </w:r>
      <w:r w:rsidR="00630B93" w:rsidRPr="003A229B">
        <w:rPr>
          <w:rStyle w:val="H-TextChar"/>
          <w:sz w:val="22"/>
          <w:szCs w:val="22"/>
        </w:rPr>
        <w:t xml:space="preserve">, both for the operators and for the individuals who work in proximity to them. </w:t>
      </w:r>
    </w:p>
    <w:p w14:paraId="5D431920" w14:textId="77777777" w:rsidR="008C1B37" w:rsidRPr="003A229B" w:rsidRDefault="009448AF" w:rsidP="003A229B">
      <w:pPr>
        <w:pStyle w:val="Overviewtext"/>
      </w:pPr>
      <w:r w:rsidRPr="003A229B">
        <w:t xml:space="preserve">This </w:t>
      </w:r>
      <w:r w:rsidR="00D84528" w:rsidRPr="003A229B">
        <w:t>Compliance Overview</w:t>
      </w:r>
      <w:r w:rsidRPr="003A229B">
        <w:t xml:space="preserve"> provides </w:t>
      </w:r>
      <w:r w:rsidR="00D84528" w:rsidRPr="003A229B">
        <w:t>a summary</w:t>
      </w:r>
      <w:r w:rsidRPr="003A229B">
        <w:t xml:space="preserve"> of the requirements regarding power line safety. </w:t>
      </w:r>
    </w:p>
    <w:p w14:paraId="7227C0C1" w14:textId="77777777" w:rsidR="004F2664" w:rsidRDefault="009448AF" w:rsidP="00D010B0">
      <w:pPr>
        <w:pStyle w:val="Overviewtext"/>
      </w:pPr>
      <w:r w:rsidRPr="002E18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9B584" wp14:editId="7B35954A">
                <wp:simplePos x="0" y="0"/>
                <wp:positionH relativeFrom="column">
                  <wp:posOffset>-514350</wp:posOffset>
                </wp:positionH>
                <wp:positionV relativeFrom="paragraph">
                  <wp:posOffset>960120</wp:posOffset>
                </wp:positionV>
                <wp:extent cx="4178300" cy="1314450"/>
                <wp:effectExtent l="19050" t="19050" r="12700" b="19050"/>
                <wp:wrapTopAndBottom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1314450"/>
                        </a:xfrm>
                        <a:prstGeom prst="rect">
                          <a:avLst/>
                        </a:prstGeom>
                        <a:solidFill>
                          <a:srgbClr val="0B6787">
                            <a:alpha val="14902"/>
                          </a:srgbClr>
                        </a:solidFill>
                        <a:ln w="38100">
                          <a:solidFill>
                            <a:srgbClr val="0B6787"/>
                          </a:solidFill>
                        </a:ln>
                        <a:effectLst/>
                      </wps:spPr>
                      <wps:txbx>
                        <w:txbxContent>
                          <w:p w14:paraId="68C1C1F6" w14:textId="77777777" w:rsidR="00D56AE4" w:rsidRPr="0067167C" w:rsidRDefault="009448AF" w:rsidP="000B38BC">
                            <w:pPr>
                              <w:pStyle w:val="LR-Heading"/>
                              <w:rPr>
                                <w:rStyle w:val="Strong"/>
                                <w:color w:val="595959"/>
                              </w:rPr>
                            </w:pPr>
                            <w:r w:rsidRPr="0067167C">
                              <w:rPr>
                                <w:rStyle w:val="Strong"/>
                                <w:color w:val="595959"/>
                              </w:rPr>
                              <w:t>Links And Resources</w:t>
                            </w:r>
                          </w:p>
                          <w:p w14:paraId="6C3AE0A4" w14:textId="77777777" w:rsidR="00D84528" w:rsidRDefault="009448AF" w:rsidP="00630B93">
                            <w:pPr>
                              <w:pStyle w:val="LR-BulletList"/>
                            </w:pPr>
                            <w:r>
                              <w:t>OSH</w:t>
                            </w:r>
                            <w:r>
                              <w:t xml:space="preserve">A </w:t>
                            </w:r>
                            <w:hyperlink r:id="rId13" w:history="1">
                              <w:r w:rsidRPr="00D84528">
                                <w:rPr>
                                  <w:rStyle w:val="Hyperlink"/>
                                </w:rPr>
                                <w:t>final rule</w:t>
                              </w:r>
                            </w:hyperlink>
                            <w:r>
                              <w:t xml:space="preserve"> for cranes and derricks in </w:t>
                            </w:r>
                            <w:r w:rsidR="00C23CD3">
                              <w:t>c</w:t>
                            </w:r>
                            <w:r>
                              <w:t>onstruction</w:t>
                            </w:r>
                          </w:p>
                          <w:p w14:paraId="29C8F176" w14:textId="77777777" w:rsidR="00D84528" w:rsidRPr="005E2238" w:rsidRDefault="009448AF" w:rsidP="00630B93">
                            <w:pPr>
                              <w:pStyle w:val="LR-BulletList"/>
                            </w:pPr>
                            <w:r>
                              <w:t xml:space="preserve">OSHA </w:t>
                            </w:r>
                            <w:hyperlink r:id="rId14" w:history="1">
                              <w:r w:rsidRPr="00D84528">
                                <w:rPr>
                                  <w:rStyle w:val="Hyperlink"/>
                                </w:rPr>
                                <w:t>webpage</w:t>
                              </w:r>
                            </w:hyperlink>
                            <w:r>
                              <w:t xml:space="preserve"> for cranes and derricks in </w:t>
                            </w:r>
                            <w:r w:rsidR="008D1A37">
                              <w:t>c</w:t>
                            </w:r>
                            <w:r>
                              <w:t>o</w:t>
                            </w:r>
                            <w:r>
                              <w:t>nstruction</w:t>
                            </w:r>
                          </w:p>
                          <w:p w14:paraId="1CE3F557" w14:textId="77777777" w:rsidR="00D56AE4" w:rsidRPr="005E2238" w:rsidRDefault="00D56AE4" w:rsidP="000B38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B584" id="Text Box 65" o:spid="_x0000_s1028" type="#_x0000_t202" style="position:absolute;left:0;text-align:left;margin-left:-40.5pt;margin-top:75.6pt;width:329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" fillcolor="#0b6787" strokecolor="#0b6787" strokeweight="3pt">
                <v:fill opacity="9766f"/>
                <v:textbox>
                  <w:txbxContent>
                    <w:p w14:paraId="68C1C1F6" w14:textId="77777777" w:rsidR="00D56AE4" w:rsidRPr="0067167C" w:rsidRDefault="009448AF" w:rsidP="000B38BC">
                      <w:pPr>
                        <w:pStyle w:val="LR-Heading"/>
                        <w:rPr>
                          <w:rStyle w:val="Strong"/>
                          <w:color w:val="595959"/>
                        </w:rPr>
                      </w:pPr>
                      <w:r w:rsidRPr="0067167C">
                        <w:rPr>
                          <w:rStyle w:val="Strong"/>
                          <w:color w:val="595959"/>
                        </w:rPr>
                        <w:t>Links And Resources</w:t>
                      </w:r>
                    </w:p>
                    <w:p w14:paraId="6C3AE0A4" w14:textId="77777777" w:rsidR="00D84528" w:rsidRDefault="009448AF" w:rsidP="00630B93">
                      <w:pPr>
                        <w:pStyle w:val="LR-BulletList"/>
                      </w:pPr>
                      <w:r>
                        <w:t>OSH</w:t>
                      </w:r>
                      <w:r>
                        <w:t xml:space="preserve">A </w:t>
                      </w:r>
                      <w:hyperlink r:id="rId15" w:history="1">
                        <w:r w:rsidRPr="00D84528">
                          <w:rPr>
                            <w:rStyle w:val="Hyperlink"/>
                          </w:rPr>
                          <w:t>final rule</w:t>
                        </w:r>
                      </w:hyperlink>
                      <w:r>
                        <w:t xml:space="preserve"> for cranes and derricks in </w:t>
                      </w:r>
                      <w:r w:rsidR="00C23CD3">
                        <w:t>c</w:t>
                      </w:r>
                      <w:r>
                        <w:t>onstruction</w:t>
                      </w:r>
                    </w:p>
                    <w:p w14:paraId="29C8F176" w14:textId="77777777" w:rsidR="00D84528" w:rsidRPr="005E2238" w:rsidRDefault="009448AF" w:rsidP="00630B93">
                      <w:pPr>
                        <w:pStyle w:val="LR-BulletList"/>
                      </w:pPr>
                      <w:r>
                        <w:t xml:space="preserve">OSHA </w:t>
                      </w:r>
                      <w:hyperlink r:id="rId16" w:history="1">
                        <w:r w:rsidRPr="00D84528">
                          <w:rPr>
                            <w:rStyle w:val="Hyperlink"/>
                          </w:rPr>
                          <w:t>webpage</w:t>
                        </w:r>
                      </w:hyperlink>
                      <w:r>
                        <w:t xml:space="preserve"> for cranes and derricks in </w:t>
                      </w:r>
                      <w:r w:rsidR="008D1A37">
                        <w:t>c</w:t>
                      </w:r>
                      <w:r>
                        <w:t>o</w:t>
                      </w:r>
                      <w:r>
                        <w:t>nstruction</w:t>
                      </w:r>
                    </w:p>
                    <w:p w14:paraId="1CE3F557" w14:textId="77777777" w:rsidR="00D56AE4" w:rsidRPr="005E2238" w:rsidRDefault="00D56AE4" w:rsidP="000B38BC"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F2664">
        <w:br w:type="page"/>
      </w:r>
    </w:p>
    <w:p w14:paraId="7A1AAE09" w14:textId="77777777" w:rsidR="000B3338" w:rsidRPr="000B3338" w:rsidRDefault="009448AF" w:rsidP="008C1B37">
      <w:pPr>
        <w:pStyle w:val="Heading1"/>
      </w:pPr>
      <w:r w:rsidRPr="000B3338">
        <w:lastRenderedPageBreak/>
        <w:t>POWER LINE SAFETY STANDARDS</w:t>
      </w:r>
    </w:p>
    <w:p w14:paraId="6C938E45" w14:textId="77777777" w:rsidR="000B3338" w:rsidRPr="009D6F61" w:rsidRDefault="009448AF" w:rsidP="00630B93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>Before beginning equipment operations, the employer must identify the work zone. This can be done by either:</w:t>
      </w:r>
    </w:p>
    <w:p w14:paraId="73C5E8C5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Setting</w:t>
      </w:r>
      <w:r w:rsidRPr="009D6F61">
        <w:rPr>
          <w:sz w:val="22"/>
          <w:szCs w:val="22"/>
        </w:rPr>
        <w:t xml:space="preserve"> boundaries (such as with flags) and prohibiting the operator from operating outside those boundaries; or </w:t>
      </w:r>
    </w:p>
    <w:p w14:paraId="0A7FC994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Defining the work zone as the area 360 degrees around the equipment, up to its maximum working radius. </w:t>
      </w:r>
    </w:p>
    <w:p w14:paraId="6364D78E" w14:textId="77777777" w:rsidR="000B3338" w:rsidRPr="00630B93" w:rsidRDefault="009448AF" w:rsidP="00630B93">
      <w:pPr>
        <w:pStyle w:val="Heading2"/>
      </w:pPr>
      <w:r w:rsidRPr="00630B93">
        <w:t>Clearance Distance</w:t>
      </w:r>
    </w:p>
    <w:tbl>
      <w:tblPr>
        <w:tblpPr w:leftFromText="180" w:rightFromText="180" w:vertAnchor="text" w:horzAnchor="page" w:tblpX="57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3034"/>
      </w:tblGrid>
      <w:tr w:rsidR="002B4794" w14:paraId="6E6206FB" w14:textId="77777777" w:rsidTr="00EA3676">
        <w:trPr>
          <w:trHeight w:val="105"/>
        </w:trPr>
        <w:tc>
          <w:tcPr>
            <w:tcW w:w="5949" w:type="dxa"/>
            <w:gridSpan w:val="2"/>
            <w:shd w:val="clear" w:color="auto" w:fill="0B6787"/>
            <w:vAlign w:val="center"/>
          </w:tcPr>
          <w:p w14:paraId="2EAE438B" w14:textId="77777777" w:rsidR="003A229B" w:rsidRPr="00EA3676" w:rsidRDefault="009448AF" w:rsidP="00EA3676">
            <w:pPr>
              <w:pStyle w:val="BodyText"/>
              <w:spacing w:before="60" w:after="60" w:line="180" w:lineRule="auto"/>
              <w:jc w:val="center"/>
              <w:rPr>
                <w:b/>
                <w:color w:val="FFFFFF" w:themeColor="background1"/>
              </w:rPr>
            </w:pPr>
            <w:r w:rsidRPr="00EA3676">
              <w:rPr>
                <w:b/>
                <w:color w:val="FFFFFF" w:themeColor="background1"/>
              </w:rPr>
              <w:t xml:space="preserve">Table A – MINIMUM </w:t>
            </w:r>
            <w:r w:rsidRPr="00EA3676">
              <w:rPr>
                <w:b/>
                <w:color w:val="FFFFFF" w:themeColor="background1"/>
              </w:rPr>
              <w:t>CLEARANCE DISTANCES</w:t>
            </w:r>
          </w:p>
        </w:tc>
      </w:tr>
      <w:tr w:rsidR="002B4794" w14:paraId="3943E491" w14:textId="77777777" w:rsidTr="00EA3676">
        <w:trPr>
          <w:trHeight w:val="107"/>
        </w:trPr>
        <w:tc>
          <w:tcPr>
            <w:tcW w:w="2915" w:type="dxa"/>
            <w:shd w:val="clear" w:color="auto" w:fill="76A05E"/>
            <w:vAlign w:val="center"/>
          </w:tcPr>
          <w:p w14:paraId="41B2C312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  <w:rPr>
                <w:color w:val="FFFFFF" w:themeColor="background1"/>
              </w:rPr>
            </w:pPr>
            <w:r w:rsidRPr="00EA3676">
              <w:rPr>
                <w:color w:val="FFFFFF" w:themeColor="background1"/>
              </w:rPr>
              <w:t>Voltage range</w:t>
            </w:r>
          </w:p>
          <w:p w14:paraId="01F254FF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  <w:rPr>
                <w:color w:val="FFFFFF" w:themeColor="background1"/>
              </w:rPr>
            </w:pPr>
            <w:r w:rsidRPr="00EA3676">
              <w:rPr>
                <w:color w:val="FFFFFF" w:themeColor="background1"/>
                <w:sz w:val="18"/>
              </w:rPr>
              <w:t>(nominal, kV, alternating current)</w:t>
            </w:r>
          </w:p>
        </w:tc>
        <w:tc>
          <w:tcPr>
            <w:tcW w:w="3034" w:type="dxa"/>
            <w:shd w:val="clear" w:color="auto" w:fill="76A05E"/>
            <w:vAlign w:val="center"/>
          </w:tcPr>
          <w:p w14:paraId="48B36ABE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  <w:rPr>
                <w:color w:val="FFFFFF" w:themeColor="background1"/>
              </w:rPr>
            </w:pPr>
            <w:r w:rsidRPr="00EA3676">
              <w:rPr>
                <w:color w:val="FFFFFF" w:themeColor="background1"/>
              </w:rPr>
              <w:t>Minimum clearance distance</w:t>
            </w:r>
            <w:r w:rsidRPr="00AA3BBE">
              <w:rPr>
                <w:color w:val="FFFFFF" w:themeColor="background1"/>
              </w:rPr>
              <w:t xml:space="preserve"> </w:t>
            </w:r>
          </w:p>
          <w:p w14:paraId="2612C608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  <w:rPr>
                <w:color w:val="FFFFFF" w:themeColor="background1"/>
              </w:rPr>
            </w:pPr>
            <w:r w:rsidRPr="00EA3676">
              <w:rPr>
                <w:color w:val="FFFFFF" w:themeColor="background1"/>
                <w:sz w:val="18"/>
              </w:rPr>
              <w:t>(feet)</w:t>
            </w:r>
          </w:p>
        </w:tc>
      </w:tr>
      <w:tr w:rsidR="002B4794" w14:paraId="5F969D63" w14:textId="77777777" w:rsidTr="00EA3676">
        <w:trPr>
          <w:trHeight w:val="65"/>
        </w:trPr>
        <w:tc>
          <w:tcPr>
            <w:tcW w:w="2915" w:type="dxa"/>
            <w:shd w:val="clear" w:color="auto" w:fill="C5D7BB"/>
            <w:vAlign w:val="center"/>
          </w:tcPr>
          <w:p w14:paraId="7CA46956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Up to 50</w:t>
            </w:r>
          </w:p>
        </w:tc>
        <w:tc>
          <w:tcPr>
            <w:tcW w:w="3034" w:type="dxa"/>
            <w:shd w:val="clear" w:color="auto" w:fill="C5D7BB"/>
            <w:vAlign w:val="center"/>
          </w:tcPr>
          <w:p w14:paraId="4A6A0034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10</w:t>
            </w:r>
          </w:p>
        </w:tc>
      </w:tr>
      <w:tr w:rsidR="002B4794" w14:paraId="2BBAD762" w14:textId="77777777" w:rsidTr="00EA3676">
        <w:trPr>
          <w:trHeight w:val="65"/>
        </w:trPr>
        <w:tc>
          <w:tcPr>
            <w:tcW w:w="2915" w:type="dxa"/>
            <w:vAlign w:val="center"/>
          </w:tcPr>
          <w:p w14:paraId="3020B848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50 - 200</w:t>
            </w:r>
          </w:p>
        </w:tc>
        <w:tc>
          <w:tcPr>
            <w:tcW w:w="3034" w:type="dxa"/>
            <w:vAlign w:val="center"/>
          </w:tcPr>
          <w:p w14:paraId="724A6969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15</w:t>
            </w:r>
          </w:p>
        </w:tc>
      </w:tr>
      <w:tr w:rsidR="002B4794" w14:paraId="3F235327" w14:textId="77777777" w:rsidTr="00EA3676">
        <w:trPr>
          <w:trHeight w:val="65"/>
        </w:trPr>
        <w:tc>
          <w:tcPr>
            <w:tcW w:w="2915" w:type="dxa"/>
            <w:shd w:val="clear" w:color="auto" w:fill="C5D7BB"/>
            <w:vAlign w:val="center"/>
          </w:tcPr>
          <w:p w14:paraId="39E5965B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200 - 350</w:t>
            </w:r>
          </w:p>
        </w:tc>
        <w:tc>
          <w:tcPr>
            <w:tcW w:w="3034" w:type="dxa"/>
            <w:shd w:val="clear" w:color="auto" w:fill="C5D7BB"/>
            <w:vAlign w:val="center"/>
          </w:tcPr>
          <w:p w14:paraId="37C5ED09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20</w:t>
            </w:r>
          </w:p>
        </w:tc>
      </w:tr>
      <w:tr w:rsidR="002B4794" w14:paraId="666D0B34" w14:textId="77777777" w:rsidTr="00EA3676">
        <w:trPr>
          <w:trHeight w:val="65"/>
        </w:trPr>
        <w:tc>
          <w:tcPr>
            <w:tcW w:w="2915" w:type="dxa"/>
            <w:vAlign w:val="center"/>
          </w:tcPr>
          <w:p w14:paraId="4939D3B0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350 - 500</w:t>
            </w:r>
          </w:p>
        </w:tc>
        <w:tc>
          <w:tcPr>
            <w:tcW w:w="3034" w:type="dxa"/>
            <w:vAlign w:val="center"/>
          </w:tcPr>
          <w:p w14:paraId="4A7ADC95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25</w:t>
            </w:r>
          </w:p>
        </w:tc>
      </w:tr>
      <w:tr w:rsidR="002B4794" w14:paraId="1046C581" w14:textId="77777777" w:rsidTr="00EA3676">
        <w:trPr>
          <w:trHeight w:val="65"/>
        </w:trPr>
        <w:tc>
          <w:tcPr>
            <w:tcW w:w="2915" w:type="dxa"/>
            <w:shd w:val="clear" w:color="auto" w:fill="C5D7BB"/>
            <w:vAlign w:val="center"/>
          </w:tcPr>
          <w:p w14:paraId="0053CA3F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500 - 750</w:t>
            </w:r>
          </w:p>
        </w:tc>
        <w:tc>
          <w:tcPr>
            <w:tcW w:w="3034" w:type="dxa"/>
            <w:shd w:val="clear" w:color="auto" w:fill="C5D7BB"/>
            <w:vAlign w:val="center"/>
          </w:tcPr>
          <w:p w14:paraId="29828C22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35</w:t>
            </w:r>
          </w:p>
        </w:tc>
      </w:tr>
      <w:tr w:rsidR="002B4794" w14:paraId="6D439E0B" w14:textId="77777777" w:rsidTr="00EA3676">
        <w:trPr>
          <w:trHeight w:val="65"/>
        </w:trPr>
        <w:tc>
          <w:tcPr>
            <w:tcW w:w="2915" w:type="dxa"/>
            <w:vAlign w:val="center"/>
          </w:tcPr>
          <w:p w14:paraId="06139CDD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750 - 1,000</w:t>
            </w:r>
          </w:p>
        </w:tc>
        <w:tc>
          <w:tcPr>
            <w:tcW w:w="3034" w:type="dxa"/>
            <w:vAlign w:val="center"/>
          </w:tcPr>
          <w:p w14:paraId="39758A33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45</w:t>
            </w:r>
          </w:p>
        </w:tc>
      </w:tr>
      <w:tr w:rsidR="002B4794" w14:paraId="7D07F705" w14:textId="77777777" w:rsidTr="00EA3676">
        <w:trPr>
          <w:trHeight w:val="162"/>
        </w:trPr>
        <w:tc>
          <w:tcPr>
            <w:tcW w:w="2915" w:type="dxa"/>
            <w:shd w:val="clear" w:color="auto" w:fill="C5D7BB"/>
            <w:vAlign w:val="center"/>
          </w:tcPr>
          <w:p w14:paraId="5612EBD4" w14:textId="77777777" w:rsidR="003A229B" w:rsidRPr="00EA3676" w:rsidRDefault="009448AF" w:rsidP="00EA3676">
            <w:pPr>
              <w:pStyle w:val="T-Text"/>
              <w:spacing w:before="60" w:after="60" w:line="180" w:lineRule="auto"/>
              <w:jc w:val="center"/>
            </w:pPr>
            <w:r w:rsidRPr="00EA3676">
              <w:t>Over 1,000</w:t>
            </w:r>
          </w:p>
        </w:tc>
        <w:tc>
          <w:tcPr>
            <w:tcW w:w="3034" w:type="dxa"/>
            <w:shd w:val="clear" w:color="auto" w:fill="C5D7BB"/>
            <w:vAlign w:val="center"/>
          </w:tcPr>
          <w:p w14:paraId="2EEE0A25" w14:textId="77777777" w:rsidR="003A229B" w:rsidRPr="00EA3676" w:rsidRDefault="009448AF" w:rsidP="00EA3676">
            <w:pPr>
              <w:pStyle w:val="T-Text"/>
              <w:spacing w:before="60" w:after="60" w:line="180" w:lineRule="auto"/>
            </w:pPr>
            <w:r w:rsidRPr="00EA3676">
              <w:t xml:space="preserve">Must be established by the utility owner or </w:t>
            </w:r>
            <w:r w:rsidRPr="00EA3676">
              <w:t>operator or a qualified, registered professional engineer.</w:t>
            </w:r>
          </w:p>
        </w:tc>
      </w:tr>
    </w:tbl>
    <w:p w14:paraId="359C62E5" w14:textId="77777777" w:rsidR="000B3338" w:rsidRPr="009D6F61" w:rsidRDefault="009448AF" w:rsidP="00630B93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The clearance distance is the required minimum space between power lines and cranes, derricks or their loads and load lines. Generally, the clearance distance is 20 feet. The employer must </w:t>
      </w:r>
      <w:r w:rsidRPr="009D6F61">
        <w:rPr>
          <w:sz w:val="22"/>
          <w:szCs w:val="22"/>
        </w:rPr>
        <w:t>determine if any part of the equipment, load or load line could get closer than 20 feet to a power line.</w:t>
      </w:r>
    </w:p>
    <w:p w14:paraId="4B8AAA35" w14:textId="77777777" w:rsidR="000B3338" w:rsidRPr="009D6F61" w:rsidRDefault="009448AF" w:rsidP="00AA3BBE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Operating, assembling and disassembling cranes and derricks below power lines is prohibited, unless the employer has confirmed that the power lines have been de-energized or are visibly grounded. </w:t>
      </w:r>
    </w:p>
    <w:p w14:paraId="21B083E1" w14:textId="77777777" w:rsidR="000B3338" w:rsidRPr="009D6F61" w:rsidRDefault="009448AF" w:rsidP="00AA3BBE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>If cranes and derricks could get closer than 20 feet to a p</w:t>
      </w:r>
      <w:r w:rsidRPr="009D6F61">
        <w:rPr>
          <w:sz w:val="22"/>
          <w:szCs w:val="22"/>
        </w:rPr>
        <w:t>ower line, the employer has three options:</w:t>
      </w:r>
    </w:p>
    <w:p w14:paraId="0BC0134D" w14:textId="77777777" w:rsidR="000B3338" w:rsidRPr="009D6F61" w:rsidRDefault="009448AF" w:rsidP="00EA3676">
      <w:pPr>
        <w:pStyle w:val="BulletListBodytext"/>
        <w:numPr>
          <w:ilvl w:val="0"/>
          <w:numId w:val="8"/>
        </w:numPr>
        <w:rPr>
          <w:sz w:val="22"/>
          <w:szCs w:val="22"/>
        </w:rPr>
      </w:pPr>
      <w:r w:rsidRPr="009D6F61">
        <w:rPr>
          <w:sz w:val="22"/>
          <w:szCs w:val="22"/>
        </w:rPr>
        <w:t>De-energize and ground the power line;</w:t>
      </w:r>
    </w:p>
    <w:p w14:paraId="62B12C2A" w14:textId="77777777" w:rsidR="000B3338" w:rsidRPr="009D6F61" w:rsidRDefault="009448AF" w:rsidP="00EA3676">
      <w:pPr>
        <w:pStyle w:val="BulletListBodytext"/>
        <w:numPr>
          <w:ilvl w:val="0"/>
          <w:numId w:val="8"/>
        </w:numPr>
        <w:rPr>
          <w:sz w:val="22"/>
          <w:szCs w:val="22"/>
        </w:rPr>
      </w:pPr>
      <w:r w:rsidRPr="009D6F61">
        <w:rPr>
          <w:sz w:val="22"/>
          <w:szCs w:val="22"/>
        </w:rPr>
        <w:t>Take encroachment precautions to prevent contact with the power lines; or</w:t>
      </w:r>
    </w:p>
    <w:p w14:paraId="41F83421" w14:textId="77777777" w:rsidR="000B3338" w:rsidRPr="009D6F61" w:rsidRDefault="009448AF" w:rsidP="00EA3676">
      <w:pPr>
        <w:pStyle w:val="BulletListBodytext"/>
        <w:numPr>
          <w:ilvl w:val="0"/>
          <w:numId w:val="8"/>
        </w:numPr>
        <w:rPr>
          <w:sz w:val="22"/>
          <w:szCs w:val="22"/>
        </w:rPr>
      </w:pPr>
      <w:r w:rsidRPr="009D6F61">
        <w:rPr>
          <w:sz w:val="22"/>
          <w:szCs w:val="22"/>
        </w:rPr>
        <w:t xml:space="preserve">Consult Table A </w:t>
      </w:r>
      <w:r w:rsidR="001E5560" w:rsidRPr="009D6F61">
        <w:rPr>
          <w:sz w:val="22"/>
          <w:szCs w:val="22"/>
        </w:rPr>
        <w:t>of the standards (above)</w:t>
      </w:r>
      <w:r w:rsidRPr="009D6F61">
        <w:rPr>
          <w:sz w:val="22"/>
          <w:szCs w:val="22"/>
        </w:rPr>
        <w:t xml:space="preserve"> to determine the appropriate clearance distance.</w:t>
      </w:r>
    </w:p>
    <w:p w14:paraId="69F4ACE7" w14:textId="77777777" w:rsidR="000B3338" w:rsidRPr="009D6F61" w:rsidRDefault="009448AF" w:rsidP="00AA3BBE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>The cleara</w:t>
      </w:r>
      <w:r w:rsidRPr="009D6F61">
        <w:rPr>
          <w:sz w:val="22"/>
          <w:szCs w:val="22"/>
        </w:rPr>
        <w:t xml:space="preserve">nce distance can be adjusted depending on the power line’s voltage. For power lines between 350 and 1,000 </w:t>
      </w:r>
      <w:r w:rsidR="00C23CD3" w:rsidRPr="009D6F61">
        <w:rPr>
          <w:sz w:val="22"/>
          <w:szCs w:val="22"/>
        </w:rPr>
        <w:t>kilovolt (</w:t>
      </w:r>
      <w:r w:rsidRPr="009D6F61">
        <w:rPr>
          <w:sz w:val="22"/>
          <w:szCs w:val="22"/>
        </w:rPr>
        <w:t>kV</w:t>
      </w:r>
      <w:r w:rsidR="00C23CD3" w:rsidRPr="009D6F61">
        <w:rPr>
          <w:sz w:val="22"/>
          <w:szCs w:val="22"/>
        </w:rPr>
        <w:t>)</w:t>
      </w:r>
      <w:r w:rsidRPr="009D6F61">
        <w:rPr>
          <w:sz w:val="22"/>
          <w:szCs w:val="22"/>
        </w:rPr>
        <w:t xml:space="preserve">, the applicable distance is 50 feet. For power lines over 1,000 kV, the minimum clearance distance must be established by an individual </w:t>
      </w:r>
      <w:r w:rsidRPr="009D6F61">
        <w:rPr>
          <w:sz w:val="22"/>
          <w:szCs w:val="22"/>
        </w:rPr>
        <w:t>qualified in the science of electrical power transmission and distribution, usually the power line’s owner or operator or a registered professional engineer.</w:t>
      </w:r>
    </w:p>
    <w:p w14:paraId="6A9A0EBB" w14:textId="77777777" w:rsidR="000B3338" w:rsidRPr="005546E2" w:rsidRDefault="009448AF" w:rsidP="005546E2">
      <w:pPr>
        <w:pStyle w:val="Heading2"/>
      </w:pPr>
      <w:r w:rsidRPr="005546E2">
        <w:t>Exceptions</w:t>
      </w:r>
    </w:p>
    <w:p w14:paraId="3333FC98" w14:textId="77777777" w:rsidR="000B3338" w:rsidRPr="009D6F61" w:rsidRDefault="009448AF" w:rsidP="005546E2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>Operating equipment closer than the minimum clearance distance to an energized power li</w:t>
      </w:r>
      <w:r w:rsidRPr="009D6F61">
        <w:rPr>
          <w:sz w:val="22"/>
          <w:szCs w:val="22"/>
        </w:rPr>
        <w:t>ne is prohibited, unless:</w:t>
      </w:r>
    </w:p>
    <w:p w14:paraId="6C6E12D5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The work cannot be completed otherwise;</w:t>
      </w:r>
    </w:p>
    <w:p w14:paraId="55D55762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lastRenderedPageBreak/>
        <w:t>De-energizing and grounding or relocating the power line is impracticable;</w:t>
      </w:r>
    </w:p>
    <w:p w14:paraId="74863AEB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The power line owner or operator or a qualified registered professional engineer has determined the minimum clearan</w:t>
      </w:r>
      <w:r w:rsidRPr="009D6F61">
        <w:rPr>
          <w:sz w:val="22"/>
          <w:szCs w:val="22"/>
        </w:rPr>
        <w:t>ce distance that must be maintained to prevent contact;</w:t>
      </w:r>
    </w:p>
    <w:p w14:paraId="5C8F2DEC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A planning meeting has been held to determine the procedures that must be followed to prevent contact with the power line and electrocution (the procedures must meet minimum standards, be documented a</w:t>
      </w:r>
      <w:r w:rsidRPr="009D6F61">
        <w:rPr>
          <w:sz w:val="22"/>
          <w:szCs w:val="22"/>
        </w:rPr>
        <w:t>nd be made available on-site immediately);</w:t>
      </w:r>
    </w:p>
    <w:p w14:paraId="7BE1ADF1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The procedures mentioned above are reviewed and implemented (the person directing the implementation must have the authority to stop work at any time to ensure safety); and</w:t>
      </w:r>
    </w:p>
    <w:p w14:paraId="1BDAF662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Operators and crew members are properly trained, and any safety devices are used in accordance with the manufacturer’s conditions. </w:t>
      </w:r>
    </w:p>
    <w:p w14:paraId="3A2ABC95" w14:textId="77777777" w:rsidR="000B3338" w:rsidRPr="009D6F61" w:rsidRDefault="009448AF" w:rsidP="005546E2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>If the procedures mentioned above prove to be inadequate, the employer must cease all work around the power line until it ca</w:t>
      </w:r>
      <w:r w:rsidRPr="009D6F61">
        <w:rPr>
          <w:sz w:val="22"/>
          <w:szCs w:val="22"/>
        </w:rPr>
        <w:t>n develop new procedures, relocate the power line</w:t>
      </w:r>
      <w:r w:rsidR="00BE2ACC" w:rsidRPr="009D6F61">
        <w:rPr>
          <w:sz w:val="22"/>
          <w:szCs w:val="22"/>
        </w:rPr>
        <w:t>,</w:t>
      </w:r>
      <w:r w:rsidRPr="009D6F61">
        <w:rPr>
          <w:sz w:val="22"/>
          <w:szCs w:val="22"/>
        </w:rPr>
        <w:t xml:space="preserve"> or de-energize and visibly ground the power line.</w:t>
      </w:r>
    </w:p>
    <w:p w14:paraId="149175B3" w14:textId="77777777" w:rsidR="000B3338" w:rsidRPr="009D6F61" w:rsidRDefault="009448AF" w:rsidP="005546E2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In addition, at least one electrocution hazard warning must be conspicuously posted in the cab so that the operator can see it (except for overhead gantry </w:t>
      </w:r>
      <w:r w:rsidRPr="009D6F61">
        <w:rPr>
          <w:sz w:val="22"/>
          <w:szCs w:val="22"/>
        </w:rPr>
        <w:t xml:space="preserve">and tower cranes). At least two warnings must be posted on the outside of the equipment.  </w:t>
      </w:r>
    </w:p>
    <w:p w14:paraId="2B5D1824" w14:textId="77777777" w:rsidR="000B3338" w:rsidRPr="000B3338" w:rsidRDefault="009448AF" w:rsidP="008C1B37">
      <w:pPr>
        <w:pStyle w:val="Heading2"/>
      </w:pPr>
      <w:r w:rsidRPr="000B3338">
        <w:t>Training</w:t>
      </w:r>
    </w:p>
    <w:p w14:paraId="2D73D4D4" w14:textId="77777777" w:rsidR="000B3338" w:rsidRPr="009D6F61" w:rsidRDefault="009448AF" w:rsidP="005546E2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>Employers must train each operator and crew member assigned to work with the equipment on:</w:t>
      </w:r>
    </w:p>
    <w:p w14:paraId="4FB881E3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What procedures to follow in the event of contact with a power li</w:t>
      </w:r>
      <w:r w:rsidRPr="009D6F61">
        <w:rPr>
          <w:sz w:val="22"/>
          <w:szCs w:val="22"/>
        </w:rPr>
        <w:t>ne;</w:t>
      </w:r>
    </w:p>
    <w:p w14:paraId="745BB622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Assuming that power lines are energized, unless their owner or operator confirms that the power lines have been, and continues to be, de-energized and visibly grounded at the worksite;</w:t>
      </w:r>
    </w:p>
    <w:p w14:paraId="7D6719EE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Assuming that power lines are </w:t>
      </w:r>
      <w:r w:rsidRPr="009D6F61">
        <w:rPr>
          <w:i/>
          <w:sz w:val="22"/>
          <w:szCs w:val="22"/>
        </w:rPr>
        <w:t>not</w:t>
      </w:r>
      <w:r w:rsidRPr="009D6F61">
        <w:rPr>
          <w:sz w:val="22"/>
          <w:szCs w:val="22"/>
        </w:rPr>
        <w:t xml:space="preserve"> insulated, unless their owner or </w:t>
      </w:r>
      <w:r w:rsidRPr="009D6F61">
        <w:rPr>
          <w:sz w:val="22"/>
          <w:szCs w:val="22"/>
        </w:rPr>
        <w:t>operator or a qualified, registered engineer confirms that the power lines are insulated;</w:t>
      </w:r>
    </w:p>
    <w:p w14:paraId="775AA8BB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The limitations of an insulating link or device, the proximity alarm and the range control devise (if used);</w:t>
      </w:r>
      <w:r w:rsidR="00501978" w:rsidRPr="009D6F61">
        <w:rPr>
          <w:sz w:val="22"/>
          <w:szCs w:val="22"/>
        </w:rPr>
        <w:t xml:space="preserve"> and</w:t>
      </w:r>
    </w:p>
    <w:p w14:paraId="6C081613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How to properly ground equipment and the limitations </w:t>
      </w:r>
      <w:r w:rsidRPr="009D6F61">
        <w:rPr>
          <w:sz w:val="22"/>
          <w:szCs w:val="22"/>
        </w:rPr>
        <w:t>of grounding to prevent electrocution.</w:t>
      </w:r>
    </w:p>
    <w:p w14:paraId="0D43D8C2" w14:textId="77777777" w:rsidR="000B3338" w:rsidRDefault="009448AF" w:rsidP="005546E2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Employees working as dedicated spotters must receive sufficient training to enable them to effectively perform their responsibilities and must include the instructions mentioned above. </w:t>
      </w:r>
    </w:p>
    <w:p w14:paraId="7EDF35B5" w14:textId="77777777" w:rsidR="009D6F61" w:rsidRDefault="009D6F61" w:rsidP="005546E2">
      <w:pPr>
        <w:pStyle w:val="BodyText"/>
        <w:rPr>
          <w:sz w:val="22"/>
          <w:szCs w:val="22"/>
        </w:rPr>
      </w:pPr>
    </w:p>
    <w:p w14:paraId="541C598A" w14:textId="77777777" w:rsidR="009D6F61" w:rsidRDefault="009D6F61" w:rsidP="005546E2">
      <w:pPr>
        <w:pStyle w:val="BodyText"/>
        <w:rPr>
          <w:sz w:val="22"/>
          <w:szCs w:val="22"/>
        </w:rPr>
      </w:pPr>
    </w:p>
    <w:p w14:paraId="5EA3D57A" w14:textId="77777777" w:rsidR="009D6F61" w:rsidRPr="009D6F61" w:rsidRDefault="009D6F61" w:rsidP="005546E2">
      <w:pPr>
        <w:pStyle w:val="BodyText"/>
        <w:rPr>
          <w:sz w:val="22"/>
          <w:szCs w:val="22"/>
        </w:rPr>
      </w:pPr>
    </w:p>
    <w:tbl>
      <w:tblPr>
        <w:tblpPr w:leftFromText="180" w:rightFromText="180" w:vertAnchor="text" w:horzAnchor="page" w:tblpX="6406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880"/>
      </w:tblGrid>
      <w:tr w:rsidR="002B4794" w14:paraId="45E68450" w14:textId="77777777" w:rsidTr="009D6F61">
        <w:trPr>
          <w:trHeight w:val="413"/>
        </w:trPr>
        <w:tc>
          <w:tcPr>
            <w:tcW w:w="5575" w:type="dxa"/>
            <w:gridSpan w:val="2"/>
            <w:shd w:val="clear" w:color="auto" w:fill="0B6787"/>
            <w:vAlign w:val="center"/>
          </w:tcPr>
          <w:p w14:paraId="4E419B10" w14:textId="77777777" w:rsidR="009D6F61" w:rsidRPr="005546E2" w:rsidRDefault="009448AF" w:rsidP="009D6F61">
            <w:pPr>
              <w:pStyle w:val="T-Text"/>
              <w:spacing w:before="60" w:after="60" w:line="180" w:lineRule="auto"/>
              <w:jc w:val="center"/>
              <w:rPr>
                <w:b/>
                <w:color w:val="FFFFFF" w:themeColor="background1"/>
              </w:rPr>
            </w:pPr>
            <w:r w:rsidRPr="005546E2">
              <w:rPr>
                <w:b/>
                <w:color w:val="FFFFFF" w:themeColor="background1"/>
              </w:rPr>
              <w:t xml:space="preserve">Table T – MINIMUM </w:t>
            </w:r>
            <w:r w:rsidRPr="005546E2">
              <w:rPr>
                <w:b/>
                <w:color w:val="FFFFFF" w:themeColor="background1"/>
              </w:rPr>
              <w:t>CLEARANCE DISTANCES</w:t>
            </w:r>
            <w:r>
              <w:rPr>
                <w:b/>
                <w:color w:val="FFFFFF" w:themeColor="background1"/>
              </w:rPr>
              <w:t xml:space="preserve"> </w:t>
            </w:r>
            <w:r w:rsidRPr="005546E2">
              <w:rPr>
                <w:b/>
                <w:color w:val="FFFFFF" w:themeColor="background1"/>
              </w:rPr>
              <w:t>WHILE TRAVELING WITH NO LOAD</w:t>
            </w:r>
          </w:p>
        </w:tc>
      </w:tr>
      <w:tr w:rsidR="002B4794" w14:paraId="39F29899" w14:textId="77777777" w:rsidTr="009D6F61">
        <w:trPr>
          <w:trHeight w:val="440"/>
        </w:trPr>
        <w:tc>
          <w:tcPr>
            <w:tcW w:w="2695" w:type="dxa"/>
            <w:shd w:val="clear" w:color="auto" w:fill="76A05E"/>
            <w:vAlign w:val="center"/>
          </w:tcPr>
          <w:p w14:paraId="376EC030" w14:textId="77777777" w:rsidR="009D6F61" w:rsidRPr="005546E2" w:rsidRDefault="009448AF" w:rsidP="009D6F61">
            <w:pPr>
              <w:pStyle w:val="T-Text"/>
              <w:spacing w:before="60" w:line="180" w:lineRule="auto"/>
              <w:jc w:val="center"/>
              <w:rPr>
                <w:color w:val="FFFFFF" w:themeColor="background1"/>
              </w:rPr>
            </w:pPr>
            <w:r w:rsidRPr="005546E2">
              <w:rPr>
                <w:color w:val="FFFFFF" w:themeColor="background1"/>
              </w:rPr>
              <w:t>Voltage range</w:t>
            </w:r>
          </w:p>
          <w:p w14:paraId="2ECFC416" w14:textId="77777777" w:rsidR="009D6F61" w:rsidRPr="005546E2" w:rsidRDefault="009448AF" w:rsidP="009D6F61">
            <w:pPr>
              <w:pStyle w:val="T-Text"/>
              <w:spacing w:before="0" w:after="60" w:line="180" w:lineRule="auto"/>
              <w:jc w:val="center"/>
              <w:rPr>
                <w:color w:val="FFFFFF" w:themeColor="background1"/>
              </w:rPr>
            </w:pPr>
            <w:r w:rsidRPr="003A229B">
              <w:rPr>
                <w:color w:val="FFFFFF" w:themeColor="background1"/>
                <w:sz w:val="18"/>
              </w:rPr>
              <w:t>(nominal, kV, alternating current)</w:t>
            </w:r>
          </w:p>
        </w:tc>
        <w:tc>
          <w:tcPr>
            <w:tcW w:w="2880" w:type="dxa"/>
            <w:shd w:val="clear" w:color="auto" w:fill="76A05E"/>
            <w:vAlign w:val="center"/>
          </w:tcPr>
          <w:p w14:paraId="73A240E1" w14:textId="77777777" w:rsidR="009D6F61" w:rsidRPr="005546E2" w:rsidRDefault="009448AF" w:rsidP="009D6F61">
            <w:pPr>
              <w:pStyle w:val="T-Text"/>
              <w:spacing w:before="60" w:line="180" w:lineRule="auto"/>
              <w:jc w:val="center"/>
              <w:rPr>
                <w:color w:val="FFFFFF" w:themeColor="background1"/>
              </w:rPr>
            </w:pPr>
            <w:r w:rsidRPr="005546E2">
              <w:rPr>
                <w:color w:val="FFFFFF" w:themeColor="background1"/>
              </w:rPr>
              <w:t>Min</w:t>
            </w:r>
            <w:r>
              <w:rPr>
                <w:color w:val="FFFFFF" w:themeColor="background1"/>
              </w:rPr>
              <w:t>imum</w:t>
            </w:r>
            <w:r w:rsidRPr="005546E2">
              <w:rPr>
                <w:color w:val="FFFFFF" w:themeColor="background1"/>
              </w:rPr>
              <w:t xml:space="preserve"> clearance while traveling</w:t>
            </w:r>
          </w:p>
          <w:p w14:paraId="329FDD1E" w14:textId="77777777" w:rsidR="009D6F61" w:rsidRPr="005546E2" w:rsidRDefault="009448AF" w:rsidP="009D6F61">
            <w:pPr>
              <w:pStyle w:val="T-Text"/>
              <w:spacing w:before="0" w:after="60" w:line="180" w:lineRule="auto"/>
              <w:jc w:val="center"/>
              <w:rPr>
                <w:color w:val="FFFFFF" w:themeColor="background1"/>
              </w:rPr>
            </w:pPr>
            <w:r w:rsidRPr="003A229B">
              <w:rPr>
                <w:color w:val="FFFFFF" w:themeColor="background1"/>
                <w:sz w:val="18"/>
              </w:rPr>
              <w:t>(feet)</w:t>
            </w:r>
          </w:p>
        </w:tc>
      </w:tr>
      <w:tr w:rsidR="002B4794" w14:paraId="1EAED38E" w14:textId="77777777" w:rsidTr="009D6F61">
        <w:trPr>
          <w:trHeight w:val="198"/>
        </w:trPr>
        <w:tc>
          <w:tcPr>
            <w:tcW w:w="2695" w:type="dxa"/>
            <w:shd w:val="clear" w:color="auto" w:fill="C5D7BB"/>
            <w:vAlign w:val="center"/>
          </w:tcPr>
          <w:p w14:paraId="2AD4F11D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Up to 0.75</w:t>
            </w:r>
          </w:p>
        </w:tc>
        <w:tc>
          <w:tcPr>
            <w:tcW w:w="2880" w:type="dxa"/>
            <w:shd w:val="clear" w:color="auto" w:fill="C5D7BB"/>
            <w:vAlign w:val="center"/>
          </w:tcPr>
          <w:p w14:paraId="46329C9B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4</w:t>
            </w:r>
          </w:p>
        </w:tc>
      </w:tr>
      <w:tr w:rsidR="002B4794" w14:paraId="733BD0DB" w14:textId="77777777" w:rsidTr="009D6F61">
        <w:trPr>
          <w:trHeight w:val="198"/>
        </w:trPr>
        <w:tc>
          <w:tcPr>
            <w:tcW w:w="2695" w:type="dxa"/>
            <w:vAlign w:val="center"/>
          </w:tcPr>
          <w:p w14:paraId="33F6C1FB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0.75 - 50</w:t>
            </w:r>
          </w:p>
        </w:tc>
        <w:tc>
          <w:tcPr>
            <w:tcW w:w="2880" w:type="dxa"/>
            <w:vAlign w:val="center"/>
          </w:tcPr>
          <w:p w14:paraId="1C7C9A65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6</w:t>
            </w:r>
          </w:p>
        </w:tc>
      </w:tr>
      <w:tr w:rsidR="002B4794" w14:paraId="48C4D3B4" w14:textId="77777777" w:rsidTr="009D6F61">
        <w:trPr>
          <w:trHeight w:val="198"/>
        </w:trPr>
        <w:tc>
          <w:tcPr>
            <w:tcW w:w="2695" w:type="dxa"/>
            <w:shd w:val="clear" w:color="auto" w:fill="C5D7BB"/>
            <w:vAlign w:val="center"/>
          </w:tcPr>
          <w:p w14:paraId="58C85C4A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50 - 345</w:t>
            </w:r>
          </w:p>
        </w:tc>
        <w:tc>
          <w:tcPr>
            <w:tcW w:w="2880" w:type="dxa"/>
            <w:shd w:val="clear" w:color="auto" w:fill="C5D7BB"/>
            <w:vAlign w:val="center"/>
          </w:tcPr>
          <w:p w14:paraId="1989711B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10</w:t>
            </w:r>
          </w:p>
        </w:tc>
      </w:tr>
      <w:tr w:rsidR="002B4794" w14:paraId="144C451A" w14:textId="77777777" w:rsidTr="009D6F61">
        <w:trPr>
          <w:trHeight w:val="198"/>
        </w:trPr>
        <w:tc>
          <w:tcPr>
            <w:tcW w:w="2695" w:type="dxa"/>
            <w:vAlign w:val="center"/>
          </w:tcPr>
          <w:p w14:paraId="41FA7163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345 - 750</w:t>
            </w:r>
          </w:p>
        </w:tc>
        <w:tc>
          <w:tcPr>
            <w:tcW w:w="2880" w:type="dxa"/>
            <w:vAlign w:val="center"/>
          </w:tcPr>
          <w:p w14:paraId="3FDCCA5E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16</w:t>
            </w:r>
          </w:p>
        </w:tc>
      </w:tr>
      <w:tr w:rsidR="002B4794" w14:paraId="13F99AAB" w14:textId="77777777" w:rsidTr="009D6F61">
        <w:trPr>
          <w:trHeight w:val="198"/>
        </w:trPr>
        <w:tc>
          <w:tcPr>
            <w:tcW w:w="2695" w:type="dxa"/>
            <w:shd w:val="clear" w:color="auto" w:fill="C5D7BB"/>
            <w:vAlign w:val="center"/>
          </w:tcPr>
          <w:p w14:paraId="4D03BED3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750 - 1,000</w:t>
            </w:r>
          </w:p>
        </w:tc>
        <w:tc>
          <w:tcPr>
            <w:tcW w:w="2880" w:type="dxa"/>
            <w:shd w:val="clear" w:color="auto" w:fill="C5D7BB"/>
            <w:vAlign w:val="center"/>
          </w:tcPr>
          <w:p w14:paraId="23BC9054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20</w:t>
            </w:r>
          </w:p>
        </w:tc>
      </w:tr>
      <w:tr w:rsidR="002B4794" w14:paraId="2C647F63" w14:textId="77777777" w:rsidTr="009D6F61">
        <w:trPr>
          <w:trHeight w:val="178"/>
        </w:trPr>
        <w:tc>
          <w:tcPr>
            <w:tcW w:w="2695" w:type="dxa"/>
            <w:vAlign w:val="center"/>
          </w:tcPr>
          <w:p w14:paraId="69AF55C7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>Over 1,000</w:t>
            </w:r>
          </w:p>
        </w:tc>
        <w:tc>
          <w:tcPr>
            <w:tcW w:w="2880" w:type="dxa"/>
            <w:vAlign w:val="center"/>
          </w:tcPr>
          <w:p w14:paraId="067AB453" w14:textId="77777777" w:rsidR="009D6F61" w:rsidRPr="00EA3676" w:rsidRDefault="009448AF" w:rsidP="009D6F61">
            <w:pPr>
              <w:pStyle w:val="T-Text"/>
              <w:spacing w:before="60" w:after="60" w:line="180" w:lineRule="auto"/>
              <w:jc w:val="center"/>
            </w:pPr>
            <w:r w:rsidRPr="00EA3676">
              <w:t xml:space="preserve">Must be established by the </w:t>
            </w:r>
            <w:r w:rsidRPr="00EA3676">
              <w:t>utility owner or operator or registered professional engineer</w:t>
            </w:r>
          </w:p>
        </w:tc>
      </w:tr>
    </w:tbl>
    <w:p w14:paraId="2677CB63" w14:textId="77777777" w:rsidR="000B3338" w:rsidRDefault="009448AF" w:rsidP="005546E2">
      <w:pPr>
        <w:pStyle w:val="Heading2"/>
      </w:pPr>
      <w:r w:rsidRPr="005546E2">
        <w:t>Traveling Under or Near Power Lines</w:t>
      </w:r>
    </w:p>
    <w:p w14:paraId="5CC2674F" w14:textId="77777777" w:rsidR="000B3338" w:rsidRPr="009D6F61" w:rsidRDefault="009448AF" w:rsidP="005546E2">
      <w:pPr>
        <w:pStyle w:val="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OSHA standards also address power line safety while traveling under or near power lines with no load on a construction site. These standards include: </w:t>
      </w:r>
    </w:p>
    <w:p w14:paraId="29023371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Lowering booms and masts;</w:t>
      </w:r>
    </w:p>
    <w:p w14:paraId="547C458C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Taking into consideration the effects of speed and terrain on equipment movement;</w:t>
      </w:r>
    </w:p>
    <w:p w14:paraId="3E850159" w14:textId="77777777" w:rsidR="000B3338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>Using spotters if the equipment will get closer than 20 feet to the power line;</w:t>
      </w:r>
    </w:p>
    <w:p w14:paraId="0F9185FB" w14:textId="77777777" w:rsidR="00AC125B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Illuminating or identifying power lines if traveling at night or in </w:t>
      </w:r>
      <w:r w:rsidRPr="009D6F61">
        <w:rPr>
          <w:sz w:val="22"/>
          <w:szCs w:val="22"/>
        </w:rPr>
        <w:t xml:space="preserve">poor visibility; and </w:t>
      </w:r>
    </w:p>
    <w:p w14:paraId="5CCDAF12" w14:textId="77777777" w:rsidR="00AC125B" w:rsidRPr="009D6F61" w:rsidRDefault="009448AF" w:rsidP="00EA3676">
      <w:pPr>
        <w:pStyle w:val="BulletListBodytext"/>
        <w:rPr>
          <w:sz w:val="22"/>
          <w:szCs w:val="22"/>
        </w:rPr>
      </w:pPr>
      <w:r w:rsidRPr="009D6F61">
        <w:rPr>
          <w:sz w:val="22"/>
          <w:szCs w:val="22"/>
        </w:rPr>
        <w:t xml:space="preserve">Determining and using a safe travel path. </w:t>
      </w:r>
    </w:p>
    <w:p w14:paraId="59C22AEA" w14:textId="77777777" w:rsidR="000B3338" w:rsidRDefault="000B3338" w:rsidP="00964DAA">
      <w:pPr>
        <w:pStyle w:val="BodyText"/>
      </w:pPr>
    </w:p>
    <w:sectPr w:rsidR="000B3338" w:rsidSect="005913B2">
      <w:headerReference w:type="default" r:id="rId17"/>
      <w:footerReference w:type="default" r:id="rId18"/>
      <w:type w:val="continuous"/>
      <w:pgSz w:w="12240" w:h="15840"/>
      <w:pgMar w:top="1627" w:right="1440" w:bottom="72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CD73" w14:textId="77777777" w:rsidR="00000000" w:rsidRDefault="009448AF">
      <w:pPr>
        <w:spacing w:before="0" w:after="0" w:line="240" w:lineRule="auto"/>
      </w:pPr>
      <w:r>
        <w:separator/>
      </w:r>
    </w:p>
  </w:endnote>
  <w:endnote w:type="continuationSeparator" w:id="0">
    <w:p w14:paraId="3D80AE97" w14:textId="77777777" w:rsidR="00000000" w:rsidRDefault="009448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754A" w14:textId="77777777" w:rsidR="00BA0696" w:rsidRDefault="009448AF" w:rsidP="000B38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477AB" wp14:editId="0FAFC60C">
              <wp:simplePos x="0" y="0"/>
              <wp:positionH relativeFrom="column">
                <wp:posOffset>-91440</wp:posOffset>
              </wp:positionH>
              <wp:positionV relativeFrom="paragraph">
                <wp:posOffset>-257810</wp:posOffset>
              </wp:positionV>
              <wp:extent cx="4475480" cy="751205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548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307BE2" w14:textId="77777777" w:rsidR="00BA0696" w:rsidRPr="005913B2" w:rsidRDefault="009448AF" w:rsidP="000B38BC">
                          <w:pPr>
                            <w:pStyle w:val="Disclaimer"/>
                          </w:pPr>
                          <w:r w:rsidRPr="00D010B0">
                            <w:rPr>
                              <w:rStyle w:val="SubtleReference"/>
                              <w:color w:val="595959"/>
                              <w:sz w:val="18"/>
                            </w:rPr>
                            <w:t>This Compliance Overview is not intended to be exhaustive</w:t>
                          </w:r>
                          <w:r w:rsidRPr="00D010B0">
                            <w:rPr>
                              <w:rStyle w:val="SubtleReference"/>
                              <w:color w:val="595959"/>
                              <w:sz w:val="18"/>
                            </w:rPr>
                            <w:t xml:space="preserve"> nor should any discussion or opinions be construed as legal advice. Readers should contact legal counsel for legal advice.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477AB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9" type="#_x0000_t202" style="position:absolute;left:0;text-align:left;margin-left:-7.2pt;margin-top:-20.3pt;width:352.4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" filled="f" stroked="f" strokeweight=".5pt">
              <v:textbox>
                <w:txbxContent>
                  <w:p w14:paraId="14307BE2" w14:textId="77777777" w:rsidR="00BA0696" w:rsidRPr="005913B2" w:rsidRDefault="009448AF" w:rsidP="000B38BC">
                    <w:pPr>
                      <w:pStyle w:val="Disclaimer"/>
                    </w:pPr>
                    <w:r w:rsidRPr="00D010B0">
                      <w:rPr>
                        <w:rStyle w:val="SubtleReference"/>
                        <w:color w:val="595959"/>
                        <w:sz w:val="18"/>
                      </w:rPr>
                      <w:t>This Compliance Overview is not intended to be exhaustive</w:t>
                    </w:r>
                    <w:r w:rsidRPr="00D010B0">
                      <w:rPr>
                        <w:rStyle w:val="SubtleReference"/>
                        <w:color w:val="595959"/>
                        <w:sz w:val="18"/>
                      </w:rPr>
                      <w:t xml:space="preserve"> nor should any discussion or opinions be construed as legal advice. Readers should contact legal counsel for legal advice.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4010" w14:textId="77777777" w:rsidR="00416FDA" w:rsidRPr="00416FDA" w:rsidRDefault="009448AF" w:rsidP="000B38BC">
    <w:pPr>
      <w:pStyle w:val="Footer"/>
    </w:pPr>
    <w:r w:rsidRPr="00416FDA">
      <w:fldChar w:fldCharType="begin"/>
    </w:r>
    <w:r w:rsidRPr="00416FDA">
      <w:instrText xml:space="preserve"> PAGE   \* MERGEFORMAT </w:instrText>
    </w:r>
    <w:r w:rsidRPr="00416FDA">
      <w:fldChar w:fldCharType="separate"/>
    </w:r>
    <w:r w:rsidR="00F65841">
      <w:rPr>
        <w:noProof/>
      </w:rPr>
      <w:t>4</w:t>
    </w:r>
    <w:r w:rsidRPr="00416FDA">
      <w:rPr>
        <w:noProof/>
      </w:rPr>
      <w:fldChar w:fldCharType="end"/>
    </w:r>
  </w:p>
  <w:p w14:paraId="2FB287F8" w14:textId="77777777" w:rsidR="00416FDA" w:rsidRPr="00416FDA" w:rsidRDefault="009448AF" w:rsidP="000B38BC">
    <w:pPr>
      <w:pStyle w:val="Disclaimer"/>
    </w:pPr>
    <w:r w:rsidRPr="00416FDA">
      <w:t>This</w:t>
    </w:r>
    <w:r w:rsidR="0030070A">
      <w:t xml:space="preserve"> Compliance </w:t>
    </w:r>
    <w:r w:rsidRPr="00416FDA">
      <w:t>Overview is not intended to be exhaustive nor should any discussion or opinions be construed as legal advice.</w:t>
    </w:r>
    <w:r w:rsidRPr="00416FDA">
      <w:br/>
      <w:t xml:space="preserve">Readers should contact legal </w:t>
    </w:r>
    <w:r w:rsidRPr="00416FDA">
      <w:t>counsel for legal advice.</w:t>
    </w:r>
  </w:p>
  <w:p w14:paraId="6F170D22" w14:textId="77777777" w:rsidR="002364F9" w:rsidRPr="00416FDA" w:rsidRDefault="009448AF" w:rsidP="000B38BC">
    <w:pPr>
      <w:pStyle w:val="Disclaimer"/>
    </w:pPr>
    <w:r w:rsidRPr="00416FDA">
      <w:t xml:space="preserve">© </w:t>
    </w:r>
    <w:r w:rsidR="00BE2ACC">
      <w:t>2017</w:t>
    </w:r>
    <w:r w:rsidR="00A3673D">
      <w:t>-2019</w:t>
    </w:r>
    <w:r w:rsidR="00BE2ACC" w:rsidRPr="00416FDA">
      <w:t> </w:t>
    </w:r>
    <w:r w:rsidRPr="00416FDA">
      <w:t>Zywave, Inc. 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4054" w14:textId="77777777" w:rsidR="00000000" w:rsidRDefault="009448AF">
      <w:pPr>
        <w:spacing w:before="0" w:after="0" w:line="240" w:lineRule="auto"/>
      </w:pPr>
      <w:r>
        <w:separator/>
      </w:r>
    </w:p>
  </w:footnote>
  <w:footnote w:type="continuationSeparator" w:id="0">
    <w:p w14:paraId="01EC33FF" w14:textId="77777777" w:rsidR="00000000" w:rsidRDefault="009448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3331" w14:textId="77777777" w:rsidR="00777DD9" w:rsidRDefault="009448AF" w:rsidP="000B38B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267925" wp14:editId="14024BBF">
          <wp:simplePos x="0" y="0"/>
          <wp:positionH relativeFrom="margin">
            <wp:posOffset>-457200</wp:posOffset>
          </wp:positionH>
          <wp:positionV relativeFrom="margin">
            <wp:posOffset>-2791460</wp:posOffset>
          </wp:positionV>
          <wp:extent cx="7772400" cy="2882265"/>
          <wp:effectExtent l="0" t="0" r="0" b="0"/>
          <wp:wrapNone/>
          <wp:docPr id="4" name="Picture 5" descr="C:\Users\singleton\Desktop\Projects\Compliabce Bulletin_Leg Brief_Reg Update\Compliance Bulletin\ACA Overview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719246" name="Picture 5" descr="C:\Users\singleton\Desktop\Projects\Compliabce Bulletin_Leg Brief_Reg Update\Compliance Bulletin\ACA Overview_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8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3720A6EB" wp14:editId="7AB0589D">
              <wp:simplePos x="0" y="0"/>
              <wp:positionH relativeFrom="column">
                <wp:posOffset>4386579</wp:posOffset>
              </wp:positionH>
              <wp:positionV relativeFrom="paragraph">
                <wp:posOffset>2667000</wp:posOffset>
              </wp:positionV>
              <wp:extent cx="0" cy="5715000"/>
              <wp:effectExtent l="0" t="0" r="19050" b="0"/>
              <wp:wrapNone/>
              <wp:docPr id="120" name="Straight Connector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71500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76A05E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0" o:spid="_x0000_s2049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345.4pt,210pt" to="345.4pt,660pt" strokecolor="#76a05e" strokeweight="1.5pt">
              <v:stroke joinstyle="miter" dashstyle="1 1" endcap="roun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C574" w14:textId="77777777" w:rsidR="00D16053" w:rsidRDefault="009448AF" w:rsidP="000B38B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54D758D" wp14:editId="67A38F17">
          <wp:simplePos x="0" y="0"/>
          <wp:positionH relativeFrom="margin">
            <wp:posOffset>-914400</wp:posOffset>
          </wp:positionH>
          <wp:positionV relativeFrom="margin">
            <wp:posOffset>-1042670</wp:posOffset>
          </wp:positionV>
          <wp:extent cx="7772400" cy="861695"/>
          <wp:effectExtent l="0" t="0" r="0" b="0"/>
          <wp:wrapNone/>
          <wp:docPr id="1" name="Picture 6" descr="C:\Users\singleton\Desktop\Projects\Compliabce Bulletin_Leg Brief_Reg Update\Compliance Bulletin\ACA Overview_PC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961780" name="Picture 6" descr="C:\Users\singleton\Desktop\Projects\Compliabce Bulletin_Leg Brief_Reg Update\Compliance Bulletin\ACA Overview_PC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AFD9B" w14:textId="77777777" w:rsidR="00D16053" w:rsidRPr="007E0E2C" w:rsidRDefault="00D16053" w:rsidP="000B3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7FAD"/>
    <w:multiLevelType w:val="hybridMultilevel"/>
    <w:tmpl w:val="CD7EEB3A"/>
    <w:lvl w:ilvl="0" w:tplc="B23AC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E5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CB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44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A4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CC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45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6A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61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0046"/>
    <w:multiLevelType w:val="hybridMultilevel"/>
    <w:tmpl w:val="37C86DEC"/>
    <w:lvl w:ilvl="0" w:tplc="6DFE40F8">
      <w:start w:val="1"/>
      <w:numFmt w:val="decimal"/>
      <w:lvlText w:val="%1."/>
      <w:lvlJc w:val="left"/>
      <w:pPr>
        <w:ind w:left="720" w:hanging="360"/>
      </w:pPr>
    </w:lvl>
    <w:lvl w:ilvl="1" w:tplc="DE26E130" w:tentative="1">
      <w:start w:val="1"/>
      <w:numFmt w:val="lowerLetter"/>
      <w:lvlText w:val="%2."/>
      <w:lvlJc w:val="left"/>
      <w:pPr>
        <w:ind w:left="1440" w:hanging="360"/>
      </w:pPr>
    </w:lvl>
    <w:lvl w:ilvl="2" w:tplc="823E127A" w:tentative="1">
      <w:start w:val="1"/>
      <w:numFmt w:val="lowerRoman"/>
      <w:lvlText w:val="%3."/>
      <w:lvlJc w:val="right"/>
      <w:pPr>
        <w:ind w:left="2160" w:hanging="180"/>
      </w:pPr>
    </w:lvl>
    <w:lvl w:ilvl="3" w:tplc="1F5C9180" w:tentative="1">
      <w:start w:val="1"/>
      <w:numFmt w:val="decimal"/>
      <w:lvlText w:val="%4."/>
      <w:lvlJc w:val="left"/>
      <w:pPr>
        <w:ind w:left="2880" w:hanging="360"/>
      </w:pPr>
    </w:lvl>
    <w:lvl w:ilvl="4" w:tplc="46744678" w:tentative="1">
      <w:start w:val="1"/>
      <w:numFmt w:val="lowerLetter"/>
      <w:lvlText w:val="%5."/>
      <w:lvlJc w:val="left"/>
      <w:pPr>
        <w:ind w:left="3600" w:hanging="360"/>
      </w:pPr>
    </w:lvl>
    <w:lvl w:ilvl="5" w:tplc="E764AAC6" w:tentative="1">
      <w:start w:val="1"/>
      <w:numFmt w:val="lowerRoman"/>
      <w:lvlText w:val="%6."/>
      <w:lvlJc w:val="right"/>
      <w:pPr>
        <w:ind w:left="4320" w:hanging="180"/>
      </w:pPr>
    </w:lvl>
    <w:lvl w:ilvl="6" w:tplc="E52C6D96" w:tentative="1">
      <w:start w:val="1"/>
      <w:numFmt w:val="decimal"/>
      <w:lvlText w:val="%7."/>
      <w:lvlJc w:val="left"/>
      <w:pPr>
        <w:ind w:left="5040" w:hanging="360"/>
      </w:pPr>
    </w:lvl>
    <w:lvl w:ilvl="7" w:tplc="ABA4399E" w:tentative="1">
      <w:start w:val="1"/>
      <w:numFmt w:val="lowerLetter"/>
      <w:lvlText w:val="%8."/>
      <w:lvlJc w:val="left"/>
      <w:pPr>
        <w:ind w:left="5760" w:hanging="360"/>
      </w:pPr>
    </w:lvl>
    <w:lvl w:ilvl="8" w:tplc="C2C20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2C70"/>
    <w:multiLevelType w:val="hybridMultilevel"/>
    <w:tmpl w:val="395AC582"/>
    <w:lvl w:ilvl="0" w:tplc="D3D2A4A6">
      <w:start w:val="1"/>
      <w:numFmt w:val="bullet"/>
      <w:pStyle w:val="BulletListBodytext"/>
      <w:lvlText w:val=""/>
      <w:lvlJc w:val="left"/>
      <w:pPr>
        <w:ind w:left="720" w:hanging="360"/>
      </w:pPr>
      <w:rPr>
        <w:rFonts w:ascii="Symbol" w:hAnsi="Symbol" w:hint="default"/>
        <w:color w:val="0B6787"/>
      </w:rPr>
    </w:lvl>
    <w:lvl w:ilvl="1" w:tplc="E640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2C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00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A9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62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7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23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46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0EFC"/>
    <w:multiLevelType w:val="hybridMultilevel"/>
    <w:tmpl w:val="2FEE2F96"/>
    <w:lvl w:ilvl="0" w:tplc="DDEC2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A6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EB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AE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5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66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43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4E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A5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61750"/>
    <w:multiLevelType w:val="hybridMultilevel"/>
    <w:tmpl w:val="76840410"/>
    <w:lvl w:ilvl="0" w:tplc="9888100A">
      <w:start w:val="1"/>
      <w:numFmt w:val="bullet"/>
      <w:pStyle w:val="T-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84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C2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0F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41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42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A8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CC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2B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1480"/>
    <w:multiLevelType w:val="hybridMultilevel"/>
    <w:tmpl w:val="FA3A4DD0"/>
    <w:lvl w:ilvl="0" w:tplc="D9F05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B6787"/>
      </w:rPr>
    </w:lvl>
    <w:lvl w:ilvl="1" w:tplc="A672F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A5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06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EA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A7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7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69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A6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07DC6"/>
    <w:multiLevelType w:val="hybridMultilevel"/>
    <w:tmpl w:val="6F847816"/>
    <w:lvl w:ilvl="0" w:tplc="1D9C3FDA">
      <w:start w:val="1"/>
      <w:numFmt w:val="bullet"/>
      <w:pStyle w:val="H-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00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CA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2F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A2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C8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0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2D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4ECD"/>
    <w:multiLevelType w:val="hybridMultilevel"/>
    <w:tmpl w:val="159C49E2"/>
    <w:lvl w:ilvl="0" w:tplc="FDDED6FC">
      <w:start w:val="1"/>
      <w:numFmt w:val="bullet"/>
      <w:pStyle w:val="BulletlistHighl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05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A7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A4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AD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2E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AA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AD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29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B0"/>
    <w:rsid w:val="000106B8"/>
    <w:rsid w:val="0001629E"/>
    <w:rsid w:val="0002730D"/>
    <w:rsid w:val="000432EE"/>
    <w:rsid w:val="00062566"/>
    <w:rsid w:val="000A79F3"/>
    <w:rsid w:val="000B3338"/>
    <w:rsid w:val="000B38BC"/>
    <w:rsid w:val="000D0EAB"/>
    <w:rsid w:val="000D272C"/>
    <w:rsid w:val="000D4C09"/>
    <w:rsid w:val="000D733F"/>
    <w:rsid w:val="00100D01"/>
    <w:rsid w:val="00147D29"/>
    <w:rsid w:val="00156A09"/>
    <w:rsid w:val="00177E2A"/>
    <w:rsid w:val="001968D1"/>
    <w:rsid w:val="001E2052"/>
    <w:rsid w:val="001E5560"/>
    <w:rsid w:val="00226BEB"/>
    <w:rsid w:val="002364F9"/>
    <w:rsid w:val="00284AF9"/>
    <w:rsid w:val="002B4794"/>
    <w:rsid w:val="002E18D1"/>
    <w:rsid w:val="0030070A"/>
    <w:rsid w:val="003A229B"/>
    <w:rsid w:val="00416FDA"/>
    <w:rsid w:val="00451D29"/>
    <w:rsid w:val="0047635A"/>
    <w:rsid w:val="004951D8"/>
    <w:rsid w:val="004B0FEF"/>
    <w:rsid w:val="004C1717"/>
    <w:rsid w:val="004C5F9D"/>
    <w:rsid w:val="004F2664"/>
    <w:rsid w:val="00501978"/>
    <w:rsid w:val="00514715"/>
    <w:rsid w:val="00525A2C"/>
    <w:rsid w:val="00530845"/>
    <w:rsid w:val="00531EE1"/>
    <w:rsid w:val="00542DFC"/>
    <w:rsid w:val="005546E2"/>
    <w:rsid w:val="005913B2"/>
    <w:rsid w:val="005C4489"/>
    <w:rsid w:val="005C6318"/>
    <w:rsid w:val="005E2238"/>
    <w:rsid w:val="005F57F5"/>
    <w:rsid w:val="00603CEA"/>
    <w:rsid w:val="00614172"/>
    <w:rsid w:val="00617287"/>
    <w:rsid w:val="00630B93"/>
    <w:rsid w:val="00660351"/>
    <w:rsid w:val="0067167C"/>
    <w:rsid w:val="00735995"/>
    <w:rsid w:val="0075722F"/>
    <w:rsid w:val="00777DD9"/>
    <w:rsid w:val="007E0E2C"/>
    <w:rsid w:val="007E7433"/>
    <w:rsid w:val="007E7941"/>
    <w:rsid w:val="00835B0E"/>
    <w:rsid w:val="00841C5F"/>
    <w:rsid w:val="00844952"/>
    <w:rsid w:val="00850A00"/>
    <w:rsid w:val="008A17E7"/>
    <w:rsid w:val="008A26E8"/>
    <w:rsid w:val="008B418A"/>
    <w:rsid w:val="008C1B37"/>
    <w:rsid w:val="008D1A37"/>
    <w:rsid w:val="008E7878"/>
    <w:rsid w:val="009448AF"/>
    <w:rsid w:val="00944BC0"/>
    <w:rsid w:val="009520AA"/>
    <w:rsid w:val="00954EB7"/>
    <w:rsid w:val="00964DAA"/>
    <w:rsid w:val="009676B5"/>
    <w:rsid w:val="00977F64"/>
    <w:rsid w:val="0098778C"/>
    <w:rsid w:val="009A300D"/>
    <w:rsid w:val="009A59A5"/>
    <w:rsid w:val="009B76FB"/>
    <w:rsid w:val="009C43ED"/>
    <w:rsid w:val="009D6F61"/>
    <w:rsid w:val="00A01A00"/>
    <w:rsid w:val="00A16F4F"/>
    <w:rsid w:val="00A22068"/>
    <w:rsid w:val="00A3673D"/>
    <w:rsid w:val="00AA3BBE"/>
    <w:rsid w:val="00AB56C2"/>
    <w:rsid w:val="00AC125B"/>
    <w:rsid w:val="00B62B55"/>
    <w:rsid w:val="00B9132E"/>
    <w:rsid w:val="00BA0696"/>
    <w:rsid w:val="00BD64CC"/>
    <w:rsid w:val="00BE2ACC"/>
    <w:rsid w:val="00C23CD3"/>
    <w:rsid w:val="00C45BE0"/>
    <w:rsid w:val="00C63444"/>
    <w:rsid w:val="00C83605"/>
    <w:rsid w:val="00CB15D7"/>
    <w:rsid w:val="00D010B0"/>
    <w:rsid w:val="00D16053"/>
    <w:rsid w:val="00D50135"/>
    <w:rsid w:val="00D56AE4"/>
    <w:rsid w:val="00D70909"/>
    <w:rsid w:val="00D7215D"/>
    <w:rsid w:val="00D84528"/>
    <w:rsid w:val="00DC427B"/>
    <w:rsid w:val="00DC7C16"/>
    <w:rsid w:val="00DE35C1"/>
    <w:rsid w:val="00E42551"/>
    <w:rsid w:val="00E461FB"/>
    <w:rsid w:val="00E47C86"/>
    <w:rsid w:val="00E62966"/>
    <w:rsid w:val="00E65078"/>
    <w:rsid w:val="00E67516"/>
    <w:rsid w:val="00E70647"/>
    <w:rsid w:val="00EA3676"/>
    <w:rsid w:val="00F01CE8"/>
    <w:rsid w:val="00F05369"/>
    <w:rsid w:val="00F41967"/>
    <w:rsid w:val="00F42DB0"/>
    <w:rsid w:val="00F4521C"/>
    <w:rsid w:val="00F559AF"/>
    <w:rsid w:val="00F65841"/>
    <w:rsid w:val="00F71F2D"/>
    <w:rsid w:val="00F74EA5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18D5"/>
  <w15:chartTrackingRefBased/>
  <w15:docId w15:val="{968D4890-7AD4-477F-9BB8-AC4292A7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8BC"/>
    <w:pPr>
      <w:spacing w:before="120" w:after="240" w:line="259" w:lineRule="auto"/>
      <w:jc w:val="both"/>
    </w:pPr>
    <w:rPr>
      <w:rFonts w:eastAsia="Times New Roman" w:cs="Arial"/>
      <w:color w:val="595959"/>
    </w:rPr>
  </w:style>
  <w:style w:type="paragraph" w:styleId="Heading1">
    <w:name w:val="heading 1"/>
    <w:basedOn w:val="Title"/>
    <w:next w:val="Normal"/>
    <w:link w:val="Heading1Char"/>
    <w:uiPriority w:val="9"/>
    <w:qFormat/>
    <w:rsid w:val="00B9132E"/>
    <w:pPr>
      <w:spacing w:before="240" w:after="80"/>
      <w:ind w:left="0"/>
    </w:pPr>
    <w:rPr>
      <w:caps/>
      <w:sz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B0FEF"/>
    <w:pPr>
      <w:spacing w:after="120"/>
      <w:outlineLvl w:val="1"/>
    </w:pPr>
    <w:rPr>
      <w:b/>
      <w:i/>
      <w:sz w:val="24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514715"/>
    <w:pPr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132E"/>
    <w:rPr>
      <w:rFonts w:ascii="Calibri" w:eastAsia="Calibri" w:hAnsi="Calibri" w:cs="Arial"/>
      <w:b/>
      <w:caps/>
      <w:noProof/>
      <w:color w:val="0B6787"/>
      <w:sz w:val="24"/>
    </w:rPr>
  </w:style>
  <w:style w:type="character" w:customStyle="1" w:styleId="Heading2Char">
    <w:name w:val="Heading 2 Char"/>
    <w:link w:val="Heading2"/>
    <w:uiPriority w:val="9"/>
    <w:rsid w:val="003A229B"/>
    <w:rPr>
      <w:rFonts w:eastAsia="Times New Roman" w:cs="Arial"/>
      <w:b/>
      <w:i/>
      <w:color w:val="595959"/>
      <w:sz w:val="24"/>
    </w:rPr>
  </w:style>
  <w:style w:type="character" w:styleId="Strong">
    <w:name w:val="Strong"/>
    <w:aliases w:val="Subheading"/>
    <w:rsid w:val="00100D01"/>
    <w:rPr>
      <w:color w:val="76A05E"/>
    </w:rPr>
  </w:style>
  <w:style w:type="paragraph" w:styleId="BodyText2">
    <w:name w:val="Body Text 2"/>
    <w:aliases w:val="Subtitle 1"/>
    <w:basedOn w:val="Normal"/>
    <w:next w:val="BodyText"/>
    <w:link w:val="BodyText2Char"/>
    <w:rsid w:val="00777DD9"/>
    <w:pPr>
      <w:spacing w:before="240" w:after="80" w:line="240" w:lineRule="auto"/>
      <w:ind w:left="-540" w:right="2880"/>
    </w:pPr>
    <w:rPr>
      <w:b/>
      <w:caps/>
      <w:color w:val="C93535"/>
    </w:rPr>
  </w:style>
  <w:style w:type="character" w:customStyle="1" w:styleId="BodyText2Char">
    <w:name w:val="Body Text 2 Char"/>
    <w:aliases w:val="Subtitle 1 Char"/>
    <w:link w:val="BodyText2"/>
    <w:rsid w:val="00777DD9"/>
    <w:rPr>
      <w:rFonts w:ascii="Calibri" w:eastAsia="Times New Roman" w:hAnsi="Calibri" w:cs="Times New Roman"/>
      <w:b/>
      <w:caps/>
      <w:color w:val="C93535"/>
      <w:szCs w:val="20"/>
    </w:rPr>
  </w:style>
  <w:style w:type="paragraph" w:styleId="BodyText">
    <w:name w:val="Body Text"/>
    <w:basedOn w:val="BodyText2"/>
    <w:link w:val="BodyTextChar"/>
    <w:qFormat/>
    <w:rsid w:val="005913B2"/>
    <w:pPr>
      <w:spacing w:before="120" w:after="240" w:line="259" w:lineRule="auto"/>
      <w:ind w:left="0" w:right="0"/>
    </w:pPr>
    <w:rPr>
      <w:b w:val="0"/>
      <w:caps w:val="0"/>
      <w:color w:val="595959"/>
    </w:rPr>
  </w:style>
  <w:style w:type="character" w:customStyle="1" w:styleId="BodyTextChar">
    <w:name w:val="Body Text Char"/>
    <w:link w:val="BodyText"/>
    <w:rsid w:val="005913B2"/>
    <w:rPr>
      <w:rFonts w:ascii="Calibri" w:eastAsia="Times New Roman" w:hAnsi="Calibri" w:cs="Arial"/>
      <w:color w:val="595959"/>
      <w:sz w:val="20"/>
      <w:szCs w:val="20"/>
    </w:rPr>
  </w:style>
  <w:style w:type="paragraph" w:customStyle="1" w:styleId="H-Heading">
    <w:name w:val="H-Heading"/>
    <w:basedOn w:val="Normal"/>
    <w:link w:val="H-HeadingChar"/>
    <w:qFormat/>
    <w:rsid w:val="00D010B0"/>
    <w:pPr>
      <w:pBdr>
        <w:bottom w:val="single" w:sz="8" w:space="1" w:color="76A05E"/>
      </w:pBdr>
      <w:spacing w:before="360" w:after="120"/>
    </w:pPr>
    <w:rPr>
      <w:b/>
      <w:caps/>
      <w:color w:val="76A05E"/>
      <w:sz w:val="24"/>
    </w:rPr>
  </w:style>
  <w:style w:type="character" w:customStyle="1" w:styleId="H-HeadingChar">
    <w:name w:val="H-Heading Char"/>
    <w:link w:val="H-Heading"/>
    <w:rsid w:val="00D010B0"/>
    <w:rPr>
      <w:rFonts w:ascii="Calibri" w:eastAsia="Times New Roman" w:hAnsi="Calibri" w:cs="Arial"/>
      <w:b/>
      <w:caps/>
      <w:color w:val="76A05E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18D1"/>
    <w:pPr>
      <w:spacing w:before="480" w:after="0" w:line="180" w:lineRule="auto"/>
      <w:ind w:left="-720"/>
      <w:outlineLvl w:val="0"/>
    </w:pPr>
    <w:rPr>
      <w:b/>
      <w:noProof/>
      <w:color w:val="0B6787"/>
      <w:sz w:val="40"/>
    </w:rPr>
  </w:style>
  <w:style w:type="character" w:customStyle="1" w:styleId="TitleChar">
    <w:name w:val="Title Char"/>
    <w:link w:val="Title"/>
    <w:uiPriority w:val="10"/>
    <w:rsid w:val="002E18D1"/>
    <w:rPr>
      <w:rFonts w:eastAsia="Times New Roman" w:cs="Arial"/>
      <w:b/>
      <w:noProof/>
      <w:color w:val="0B6787"/>
      <w:sz w:val="40"/>
    </w:rPr>
  </w:style>
  <w:style w:type="paragraph" w:styleId="Header">
    <w:name w:val="header"/>
    <w:basedOn w:val="Normal"/>
    <w:link w:val="HeaderChar"/>
    <w:uiPriority w:val="99"/>
    <w:unhideWhenUsed/>
    <w:rsid w:val="0077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77D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DD9"/>
    <w:rPr>
      <w:rFonts w:ascii="Calibri" w:eastAsia="Calibri" w:hAnsi="Calibri" w:cs="Times New Roman"/>
    </w:rPr>
  </w:style>
  <w:style w:type="character" w:styleId="SubtleReference">
    <w:name w:val="Subtle Reference"/>
    <w:uiPriority w:val="31"/>
    <w:rsid w:val="00BA0696"/>
    <w:rPr>
      <w:rFonts w:ascii="Calibri" w:hAnsi="Calibri"/>
      <w:dstrike w:val="0"/>
      <w:color w:val="7F7F7F"/>
      <w:sz w:val="16"/>
      <w:u w:val="none"/>
      <w:vertAlign w:val="baseline"/>
    </w:rPr>
  </w:style>
  <w:style w:type="table" w:styleId="TableGrid">
    <w:name w:val="Table Grid"/>
    <w:basedOn w:val="TableNormal"/>
    <w:uiPriority w:val="39"/>
    <w:rsid w:val="0023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heading">
    <w:name w:val="Text box heading"/>
    <w:basedOn w:val="BodyText2"/>
    <w:link w:val="TextboxheadingChar"/>
    <w:rsid w:val="002364F9"/>
    <w:pPr>
      <w:ind w:left="0" w:right="0"/>
    </w:pPr>
    <w:rPr>
      <w:color w:val="FFFFFF"/>
      <w:sz w:val="28"/>
    </w:rPr>
  </w:style>
  <w:style w:type="character" w:customStyle="1" w:styleId="TextboxheadingChar">
    <w:name w:val="Text box heading Char"/>
    <w:link w:val="Textboxheading"/>
    <w:rsid w:val="002364F9"/>
    <w:rPr>
      <w:rFonts w:ascii="Calibri" w:eastAsia="Times New Roman" w:hAnsi="Calibri" w:cs="Times New Roman"/>
      <w:b/>
      <w:caps/>
      <w:color w:val="FFFFFF"/>
      <w:sz w:val="28"/>
      <w:szCs w:val="20"/>
    </w:rPr>
  </w:style>
  <w:style w:type="paragraph" w:customStyle="1" w:styleId="BulletlistHighlight">
    <w:name w:val="Bullet list Highlight"/>
    <w:basedOn w:val="BodyText"/>
    <w:link w:val="BulletlistHighlightChar"/>
    <w:rsid w:val="00F4521C"/>
    <w:pPr>
      <w:numPr>
        <w:numId w:val="1"/>
      </w:numPr>
      <w:ind w:left="216" w:hanging="216"/>
    </w:pPr>
    <w:rPr>
      <w:color w:val="FFFFFF"/>
    </w:rPr>
  </w:style>
  <w:style w:type="character" w:customStyle="1" w:styleId="BulletlistHighlightChar">
    <w:name w:val="Bullet list Highlight Char"/>
    <w:link w:val="BulletlistHighlight"/>
    <w:rsid w:val="00F4521C"/>
    <w:rPr>
      <w:rFonts w:ascii="Calibri" w:eastAsia="Times New Roman" w:hAnsi="Calibri" w:cs="Arial"/>
      <w:color w:val="FFFFFF"/>
      <w:sz w:val="20"/>
      <w:szCs w:val="20"/>
    </w:rPr>
  </w:style>
  <w:style w:type="paragraph" w:customStyle="1" w:styleId="BulletListBodytext">
    <w:name w:val="Bullet List Body text"/>
    <w:basedOn w:val="BodyText"/>
    <w:link w:val="BulletListBodytextChar"/>
    <w:qFormat/>
    <w:rsid w:val="00964DAA"/>
    <w:pPr>
      <w:numPr>
        <w:numId w:val="2"/>
      </w:numPr>
      <w:ind w:left="576" w:hanging="216"/>
      <w:contextualSpacing/>
    </w:pPr>
  </w:style>
  <w:style w:type="character" w:customStyle="1" w:styleId="BulletListBodytextChar">
    <w:name w:val="Bullet List Body text Char"/>
    <w:link w:val="BulletListBodytext"/>
    <w:rsid w:val="00964DAA"/>
    <w:rPr>
      <w:rFonts w:eastAsia="Times New Roman" w:cs="Arial"/>
      <w:color w:val="595959"/>
    </w:rPr>
  </w:style>
  <w:style w:type="paragraph" w:customStyle="1" w:styleId="T-Heading">
    <w:name w:val="T-Heading"/>
    <w:basedOn w:val="Normal"/>
    <w:link w:val="T-HeadingChar"/>
    <w:qFormat/>
    <w:rsid w:val="00F559AF"/>
    <w:pPr>
      <w:spacing w:after="0" w:line="240" w:lineRule="auto"/>
      <w:jc w:val="center"/>
    </w:pPr>
    <w:rPr>
      <w:rFonts w:eastAsia="Calibri" w:cs="Times New Roman"/>
      <w:b/>
      <w:color w:val="FFFFFF"/>
      <w:sz w:val="28"/>
    </w:rPr>
  </w:style>
  <w:style w:type="character" w:customStyle="1" w:styleId="Heading3Char">
    <w:name w:val="Heading 3 Char"/>
    <w:link w:val="Heading3"/>
    <w:uiPriority w:val="9"/>
    <w:rsid w:val="00514715"/>
    <w:rPr>
      <w:rFonts w:ascii="Calibri" w:eastAsia="Times New Roman" w:hAnsi="Calibri" w:cs="Arial"/>
      <w:i/>
      <w:color w:val="595959"/>
      <w:sz w:val="24"/>
      <w:szCs w:val="20"/>
    </w:rPr>
  </w:style>
  <w:style w:type="character" w:customStyle="1" w:styleId="T-HeadingChar">
    <w:name w:val="T-Heading Char"/>
    <w:link w:val="T-Heading"/>
    <w:rsid w:val="00F559AF"/>
    <w:rPr>
      <w:b/>
      <w:color w:val="FFFFFF"/>
      <w:sz w:val="28"/>
      <w:szCs w:val="20"/>
    </w:rPr>
  </w:style>
  <w:style w:type="paragraph" w:customStyle="1" w:styleId="H-Text">
    <w:name w:val="H-Text"/>
    <w:basedOn w:val="Heading2"/>
    <w:link w:val="H-TextChar"/>
    <w:qFormat/>
    <w:rsid w:val="00D010B0"/>
    <w:rPr>
      <w:b w:val="0"/>
      <w:i w:val="0"/>
      <w:sz w:val="22"/>
    </w:rPr>
  </w:style>
  <w:style w:type="paragraph" w:customStyle="1" w:styleId="H-BulletList">
    <w:name w:val="H-Bullet List"/>
    <w:basedOn w:val="H-Text"/>
    <w:link w:val="H-BulletListChar"/>
    <w:qFormat/>
    <w:rsid w:val="004B0FEF"/>
    <w:pPr>
      <w:numPr>
        <w:numId w:val="3"/>
      </w:numPr>
      <w:ind w:left="273" w:hanging="187"/>
      <w:jc w:val="left"/>
    </w:pPr>
  </w:style>
  <w:style w:type="character" w:customStyle="1" w:styleId="H-TextChar">
    <w:name w:val="H-Text Char"/>
    <w:link w:val="H-Text"/>
    <w:rsid w:val="00D010B0"/>
    <w:rPr>
      <w:rFonts w:ascii="Calibri" w:eastAsia="Times New Roman" w:hAnsi="Calibri" w:cs="Arial"/>
      <w:b w:val="0"/>
      <w:i w:val="0"/>
      <w:color w:val="595959"/>
      <w:sz w:val="24"/>
      <w:szCs w:val="20"/>
    </w:rPr>
  </w:style>
  <w:style w:type="paragraph" w:customStyle="1" w:styleId="LR-Heading">
    <w:name w:val="L&amp;R-Heading"/>
    <w:basedOn w:val="Textboxheading"/>
    <w:link w:val="LR-HeadingChar"/>
    <w:qFormat/>
    <w:rsid w:val="0067167C"/>
    <w:pPr>
      <w:spacing w:before="120"/>
    </w:pPr>
    <w:rPr>
      <w:color w:val="595959"/>
    </w:rPr>
  </w:style>
  <w:style w:type="character" w:customStyle="1" w:styleId="H-BulletListChar">
    <w:name w:val="H-Bullet List Char"/>
    <w:link w:val="H-BulletList"/>
    <w:rsid w:val="00E47C86"/>
    <w:rPr>
      <w:rFonts w:eastAsia="Times New Roman" w:cs="Arial"/>
      <w:color w:val="595959"/>
      <w:sz w:val="22"/>
    </w:rPr>
  </w:style>
  <w:style w:type="paragraph" w:customStyle="1" w:styleId="LR-Text">
    <w:name w:val="L&amp;R-Text"/>
    <w:basedOn w:val="BulletlistHighlight"/>
    <w:link w:val="LR-TextChar"/>
    <w:qFormat/>
    <w:rsid w:val="00D010B0"/>
    <w:pPr>
      <w:numPr>
        <w:numId w:val="0"/>
      </w:numPr>
    </w:pPr>
    <w:rPr>
      <w:color w:val="595959"/>
      <w:sz w:val="22"/>
    </w:rPr>
  </w:style>
  <w:style w:type="character" w:customStyle="1" w:styleId="LR-HeadingChar">
    <w:name w:val="L&amp;R-Heading Char"/>
    <w:link w:val="LR-Heading"/>
    <w:rsid w:val="0067167C"/>
    <w:rPr>
      <w:rFonts w:ascii="Calibri" w:eastAsia="Times New Roman" w:hAnsi="Calibri" w:cs="Times New Roman"/>
      <w:b/>
      <w:caps/>
      <w:color w:val="595959"/>
      <w:sz w:val="28"/>
      <w:szCs w:val="20"/>
    </w:rPr>
  </w:style>
  <w:style w:type="paragraph" w:customStyle="1" w:styleId="LR-BulletList">
    <w:name w:val="L&amp;R-Bullet List"/>
    <w:basedOn w:val="BulletlistHighlight"/>
    <w:link w:val="LR-BulletListChar"/>
    <w:qFormat/>
    <w:rsid w:val="00D010B0"/>
    <w:pPr>
      <w:jc w:val="left"/>
    </w:pPr>
    <w:rPr>
      <w:color w:val="595959"/>
      <w:sz w:val="22"/>
    </w:rPr>
  </w:style>
  <w:style w:type="character" w:customStyle="1" w:styleId="LR-TextChar">
    <w:name w:val="L&amp;R-Text Char"/>
    <w:link w:val="LR-Text"/>
    <w:rsid w:val="00D010B0"/>
    <w:rPr>
      <w:rFonts w:ascii="Calibri" w:eastAsia="Times New Roman" w:hAnsi="Calibri" w:cs="Arial"/>
      <w:color w:val="595959"/>
      <w:sz w:val="20"/>
      <w:szCs w:val="20"/>
    </w:rPr>
  </w:style>
  <w:style w:type="paragraph" w:customStyle="1" w:styleId="MergeField">
    <w:name w:val="Merge Field"/>
    <w:basedOn w:val="BodyText"/>
    <w:link w:val="MergeFieldChar"/>
    <w:qFormat/>
    <w:rsid w:val="000432EE"/>
    <w:pPr>
      <w:ind w:right="-10"/>
    </w:pPr>
    <w:rPr>
      <w:b/>
      <w:noProof/>
      <w:color w:val="76A05E"/>
      <w:sz w:val="22"/>
    </w:rPr>
  </w:style>
  <w:style w:type="character" w:customStyle="1" w:styleId="LR-BulletListChar">
    <w:name w:val="L&amp;R-Bullet List Char"/>
    <w:link w:val="LR-BulletList"/>
    <w:rsid w:val="00D010B0"/>
    <w:rPr>
      <w:rFonts w:ascii="Calibri" w:eastAsia="Times New Roman" w:hAnsi="Calibri" w:cs="Arial"/>
      <w:color w:val="595959"/>
      <w:sz w:val="20"/>
      <w:szCs w:val="20"/>
    </w:rPr>
  </w:style>
  <w:style w:type="paragraph" w:customStyle="1" w:styleId="Disclaimer">
    <w:name w:val="Disclaimer"/>
    <w:basedOn w:val="Normal"/>
    <w:link w:val="DisclaimerChar"/>
    <w:qFormat/>
    <w:rsid w:val="00844952"/>
    <w:rPr>
      <w:sz w:val="18"/>
    </w:rPr>
  </w:style>
  <w:style w:type="character" w:customStyle="1" w:styleId="MergeFieldChar">
    <w:name w:val="Merge Field Char"/>
    <w:link w:val="MergeField"/>
    <w:rsid w:val="000432EE"/>
    <w:rPr>
      <w:rFonts w:ascii="Calibri" w:eastAsia="Times New Roman" w:hAnsi="Calibri" w:cs="Arial"/>
      <w:b/>
      <w:noProof/>
      <w:color w:val="76A05E"/>
      <w:sz w:val="20"/>
      <w:szCs w:val="20"/>
    </w:rPr>
  </w:style>
  <w:style w:type="character" w:customStyle="1" w:styleId="DisclaimerChar">
    <w:name w:val="Disclaimer Char"/>
    <w:link w:val="Disclaimer"/>
    <w:rsid w:val="00844952"/>
    <w:rPr>
      <w:rFonts w:eastAsia="Calibri" w:cs="Times New Roman"/>
      <w:color w:val="595959"/>
      <w:sz w:val="18"/>
    </w:rPr>
  </w:style>
  <w:style w:type="character" w:styleId="Hyperlink">
    <w:name w:val="Hyperlink"/>
    <w:uiPriority w:val="99"/>
    <w:unhideWhenUsed/>
    <w:rsid w:val="004C1717"/>
    <w:rPr>
      <w:color w:val="0563C1"/>
      <w:u w:val="single"/>
    </w:rPr>
  </w:style>
  <w:style w:type="paragraph" w:customStyle="1" w:styleId="T-Text">
    <w:name w:val="T-Text"/>
    <w:basedOn w:val="Normal"/>
    <w:link w:val="T-TextChar"/>
    <w:qFormat/>
    <w:rsid w:val="00AB56C2"/>
    <w:pPr>
      <w:spacing w:after="0"/>
    </w:pPr>
  </w:style>
  <w:style w:type="paragraph" w:customStyle="1" w:styleId="T-BulletList">
    <w:name w:val="T-Bullet List"/>
    <w:basedOn w:val="T-Text"/>
    <w:link w:val="T-BulletListChar"/>
    <w:qFormat/>
    <w:rsid w:val="00AB56C2"/>
    <w:pPr>
      <w:numPr>
        <w:numId w:val="4"/>
      </w:numPr>
      <w:ind w:left="342" w:hanging="252"/>
    </w:pPr>
  </w:style>
  <w:style w:type="character" w:customStyle="1" w:styleId="T-TextChar">
    <w:name w:val="T-Text Char"/>
    <w:link w:val="T-Text"/>
    <w:rsid w:val="00AB56C2"/>
    <w:rPr>
      <w:rFonts w:ascii="Calibri" w:eastAsia="Calibri" w:hAnsi="Calibri" w:cs="Times New Roman"/>
      <w:color w:val="595959"/>
      <w:sz w:val="20"/>
    </w:rPr>
  </w:style>
  <w:style w:type="character" w:customStyle="1" w:styleId="T-BulletListChar">
    <w:name w:val="T-Bullet List Char"/>
    <w:link w:val="T-BulletList"/>
    <w:rsid w:val="00AB56C2"/>
    <w:rPr>
      <w:rFonts w:ascii="Calibri" w:eastAsia="Calibri" w:hAnsi="Calibri" w:cs="Times New Roman"/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629E"/>
    <w:rPr>
      <w:rFonts w:ascii="Segoe UI" w:eastAsia="Calibri" w:hAnsi="Segoe UI" w:cs="Segoe UI"/>
      <w:sz w:val="18"/>
      <w:szCs w:val="18"/>
    </w:rPr>
  </w:style>
  <w:style w:type="paragraph" w:customStyle="1" w:styleId="Overviewtext">
    <w:name w:val="Overview text"/>
    <w:basedOn w:val="BodyText"/>
    <w:link w:val="OverviewtextChar"/>
    <w:qFormat/>
    <w:rsid w:val="00D010B0"/>
    <w:pPr>
      <w:ind w:left="-720"/>
    </w:pPr>
    <w:rPr>
      <w:sz w:val="22"/>
      <w:szCs w:val="22"/>
    </w:rPr>
  </w:style>
  <w:style w:type="character" w:customStyle="1" w:styleId="OverviewtextChar">
    <w:name w:val="Overview text Char"/>
    <w:basedOn w:val="BodyTextChar"/>
    <w:link w:val="Overviewtext"/>
    <w:rsid w:val="00D010B0"/>
    <w:rPr>
      <w:rFonts w:ascii="Calibri" w:eastAsia="Times New Roman" w:hAnsi="Calibri" w:cs="Arial"/>
      <w:color w:val="59595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5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D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D3"/>
    <w:rPr>
      <w:rFonts w:eastAsia="Times New Roman" w:cs="Arial"/>
      <w:color w:val="59595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CD3"/>
    <w:rPr>
      <w:rFonts w:eastAsia="Times New Roman" w:cs="Arial"/>
      <w:b/>
      <w:bCs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osha.gov/pls/oshaweb/owadisp.show_document?p_table=FEDERAL_REGISTER&amp;p_id=2169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pls/oshaweb/owadisp.show_document?p_table=FEDERAL_REGISTER&amp;p_id=2169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osha.gov/cranes-derrick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osha.gov/pls/oshaweb/owadisp.show_document?p_table=FEDERAL_REGISTER&amp;p_id=2169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osha.gov/cranes-derrick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9129-0599-44BF-943C-6AD3D98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Caitlin Curtin</cp:lastModifiedBy>
  <cp:revision>2</cp:revision>
  <cp:lastPrinted>2016-02-24T17:48:00Z</cp:lastPrinted>
  <dcterms:created xsi:type="dcterms:W3CDTF">2019-05-21T16:12:00Z</dcterms:created>
  <dcterms:modified xsi:type="dcterms:W3CDTF">2019-05-21T16:12:00Z</dcterms:modified>
</cp:coreProperties>
</file>