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D4F2A">
      <w:r>
        <w:rPr>
          <w:noProof/>
        </w:rPr>
        <w:pict>
          <v:shapetype id="_x0000_t202" coordsize="21600,21600" o:spt="202" path="m,l,21600r21600,l21600,xe">
            <v:stroke joinstyle="miter"/>
            <v:path gradientshapeok="t" o:connecttype="rect"/>
          </v:shapetype>
          <v:shape id="Text Box 2" o:spid="_x0000_s1025" type="#_x0000_t202" style="width:544.3pt;height:20.9pt;margin-top:36pt;margin-left:36pt;mso-height-relative:margin;mso-position-horizontal-relative:page;mso-position-vertical-relative:page;mso-width-relative:margin;position:absolute;visibility:visible;z-index:251658240" filled="f" stroked="f">
            <v:textbox>
              <w:txbxContent>
                <w:p w:rsidR="00411994" w:rsidRPr="007920FA" w:rsidP="00411994">
                  <w:pPr>
                    <w:spacing w:after="0"/>
                    <w:jc w:val="right"/>
                    <w:rPr>
                      <w:b/>
                      <w:sz w:val="18"/>
                    </w:rPr>
                  </w:pPr>
                  <w:r w:rsidRPr="007920FA">
                    <w:rPr>
                      <w:b/>
                      <w:color w:val="808080"/>
                      <w:sz w:val="18"/>
                      <w:szCs w:val="20"/>
                    </w:rPr>
                    <w:t xml:space="preserve">Prepared by </w:t>
                  </w:r>
                  <w:r w:rsidRPr="007920FA">
                    <w:rPr>
                      <w:b/>
                      <w:color w:val="808080"/>
                      <w:sz w:val="18"/>
                      <w:szCs w:val="20"/>
                    </w:rPr>
                    <w:t>Corkill Insurance Agency, Inc.</w:t>
                  </w:r>
                </w:p>
                <w:p w:rsidR="00411994" w:rsidRPr="007920FA">
                  <w:pPr>
                    <w:rPr>
                      <w:b/>
                      <w:sz w:val="18"/>
                    </w:rPr>
                  </w:pPr>
                </w:p>
              </w:txbxContent>
            </v:textbox>
          </v:shape>
        </w:pict>
      </w:r>
      <w:r w:rsidR="00E50807">
        <w:t xml:space="preserve"> </w:t>
      </w:r>
    </w:p>
    <w:p w:rsidR="006A0E55" w:rsidP="006909F3">
      <w:pPr>
        <w:spacing w:after="0"/>
        <w:sectPr w:rsidSect="00213623">
          <w:headerReference w:type="first" r:id="rId5"/>
          <w:footerReference w:type="first" r:id="rId6"/>
          <w:pgSz w:w="12240" w:h="15840"/>
          <w:pgMar w:top="720" w:right="720" w:bottom="720" w:left="720" w:header="2304" w:footer="720" w:gutter="0"/>
          <w:pgNumType w:start="1"/>
          <w:cols w:space="720"/>
          <w:titlePg/>
          <w:docGrid w:linePitch="360"/>
        </w:sectPr>
      </w:pPr>
    </w:p>
    <w:p w:rsidR="00285CBC" w:rsidP="00832E83">
      <w:pPr>
        <w:pStyle w:val="Heading3"/>
        <w:rPr>
          <w:szCs w:val="24"/>
        </w:rPr>
      </w:pPr>
    </w:p>
    <w:p w:rsidR="006A0E55" w:rsidRPr="00832E83" w:rsidP="00832E83">
      <w:pPr>
        <w:pStyle w:val="Heading3"/>
        <w:rPr>
          <w:szCs w:val="24"/>
        </w:rPr>
      </w:pPr>
      <w:r>
        <w:rPr>
          <w:noProof/>
        </w:rPr>
        <w:pict>
          <v:shape id="_x0000_s1026" type="#_x0000_t202" style="width:376.75pt;height:102.95pt;margin-top:54.35pt;margin-left:36pt;mso-height-relative:margin;mso-position-horizontal-relative:page;mso-position-vertical-relative:page;mso-width-relative:margin;position:absolute;visibility:visible;z-index:251659264" filled="f" stroked="f">
            <v:textbox>
              <w:txbxContent>
                <w:p w:rsidR="0045288D" w:rsidRPr="007A13FE" w:rsidP="0045288D">
                  <w:pPr>
                    <w:rPr>
                      <w:b/>
                      <w:color w:val="808080"/>
                      <w:sz w:val="24"/>
                      <w:szCs w:val="24"/>
                    </w:rPr>
                  </w:pPr>
                </w:p>
                <w:p w:rsidR="0045288D" w:rsidRPr="007A13FE" w:rsidP="0045288D">
                  <w:pPr>
                    <w:spacing w:after="0"/>
                    <w:rPr>
                      <w:color w:val="808080"/>
                      <w:szCs w:val="20"/>
                    </w:rPr>
                  </w:pPr>
                </w:p>
                <w:p w:rsidR="0045288D" w:rsidRPr="007A13FE" w:rsidP="0045288D">
                  <w:pPr>
                    <w:spacing w:after="0"/>
                    <w:rPr>
                      <w:color w:val="808080"/>
                      <w:szCs w:val="20"/>
                    </w:rPr>
                  </w:pPr>
                </w:p>
                <w:p w:rsidR="0045288D" w:rsidRPr="007A13FE" w:rsidP="0045288D">
                  <w:pPr>
                    <w:spacing w:after="0"/>
                    <w:rPr>
                      <w:color w:val="808080"/>
                      <w:szCs w:val="20"/>
                    </w:rPr>
                  </w:pPr>
                </w:p>
                <w:p w:rsidR="0045288D" w:rsidRPr="007A13FE" w:rsidP="0045288D">
                  <w:pPr>
                    <w:spacing w:after="0"/>
                    <w:rPr>
                      <w:color w:val="808080"/>
                      <w:szCs w:val="20"/>
                    </w:rPr>
                  </w:pPr>
                  <w:r w:rsidRPr="007A13FE">
                    <w:rPr>
                      <w:color w:val="808080"/>
                      <w:szCs w:val="20"/>
                    </w:rPr>
                    <w:t xml:space="preserve">Effective Date: </w:t>
                  </w:r>
                </w:p>
                <w:p w:rsidR="0045288D" w:rsidRPr="007A13FE" w:rsidP="0045288D">
                  <w:pPr>
                    <w:spacing w:after="0"/>
                    <w:rPr>
                      <w:color w:val="808080"/>
                      <w:szCs w:val="20"/>
                    </w:rPr>
                  </w:pPr>
                  <w:r w:rsidRPr="007A13FE">
                    <w:rPr>
                      <w:color w:val="808080"/>
                      <w:szCs w:val="20"/>
                    </w:rPr>
                    <w:t>Revision #:</w:t>
                  </w:r>
                </w:p>
              </w:txbxContent>
            </v:textbox>
            <w10:anchorlock/>
          </v:shape>
        </w:pict>
      </w:r>
      <w:r w:rsidRPr="00832E83" w:rsidR="006A0E55">
        <w:rPr>
          <w:szCs w:val="24"/>
        </w:rPr>
        <w:t>Reference Standard</w:t>
      </w:r>
    </w:p>
    <w:p w:rsidR="00A47318" w:rsidP="00A47318">
      <w:pPr>
        <w:pStyle w:val="Body"/>
      </w:pPr>
      <w:r>
        <w:t>Occupational Safety and Health Administration (OSHA); Bloodborne Pathogens, Subpart Z, 29 CFR 1910.1030</w:t>
      </w:r>
    </w:p>
    <w:p w:rsidR="00A47318" w:rsidP="00A47318">
      <w:pPr>
        <w:pStyle w:val="Heading3"/>
      </w:pPr>
      <w:r>
        <w:t xml:space="preserve">Purpose   </w:t>
      </w:r>
    </w:p>
    <w:p w:rsidR="00A47318" w:rsidP="00A47318">
      <w:pPr>
        <w:pStyle w:val="Body"/>
      </w:pPr>
      <w:r>
        <w:t>This program is designed to eliminate or minimize employee exposure to bloodborne pathogens.</w:t>
      </w:r>
    </w:p>
    <w:p w:rsidR="00A47318" w:rsidP="00A47318">
      <w:pPr>
        <w:pStyle w:val="Heading3"/>
      </w:pPr>
      <w:r>
        <w:t xml:space="preserve">Scope  </w:t>
      </w:r>
    </w:p>
    <w:p w:rsidR="00A47318" w:rsidP="00A47318">
      <w:pPr>
        <w:pStyle w:val="Body"/>
      </w:pPr>
      <w:r>
        <w:t>This program applies to all of our company employees, all contractors and vendors performing work on company property as well as all other individuals who are visiting or have business with our company.</w:t>
      </w:r>
    </w:p>
    <w:p w:rsidR="00A47318" w:rsidRPr="00654105" w:rsidP="00A47318">
      <w:pPr>
        <w:pStyle w:val="Body"/>
        <w:rPr>
          <w:i/>
        </w:rPr>
      </w:pPr>
      <w:r w:rsidRPr="00654105">
        <w:rPr>
          <w:i/>
        </w:rPr>
        <w:t>Note: This training guide does not apply to HIV and HBV research laboratories and HIV and HBV production facilities.</w:t>
      </w:r>
    </w:p>
    <w:p w:rsidR="00A47318" w:rsidP="00A47318">
      <w:pPr>
        <w:pStyle w:val="Heading3"/>
      </w:pPr>
      <w:r>
        <w:t>Responsibilities</w:t>
      </w:r>
    </w:p>
    <w:p w:rsidR="00A47318" w:rsidP="00A47318">
      <w:pPr>
        <w:pStyle w:val="NoSpacing"/>
      </w:pPr>
      <w:r>
        <w:t xml:space="preserve">Management is responsible for the development and review of this program. Management is also responsible for appropriate employee training.  </w:t>
      </w:r>
    </w:p>
    <w:p w:rsidR="00A47318" w:rsidP="00A47318">
      <w:pPr>
        <w:pStyle w:val="NoSpacing"/>
      </w:pPr>
      <w:r>
        <w:t xml:space="preserve">Management and supervisors are responsible for the enforcement of this program.  </w:t>
      </w:r>
    </w:p>
    <w:p w:rsidR="00A47318" w:rsidP="00A47318">
      <w:pPr>
        <w:pStyle w:val="NoSpacing"/>
      </w:pPr>
      <w:r>
        <w:t>Employees must comply with all procedures outlined in this policy.</w:t>
      </w:r>
    </w:p>
    <w:p w:rsidR="00A47318" w:rsidP="00A47318">
      <w:pPr>
        <w:pStyle w:val="NoSpacing"/>
      </w:pPr>
      <w:r>
        <w:t>Contractors and vendors must comply with all procedures outlined in this policy.</w:t>
      </w:r>
    </w:p>
    <w:p w:rsidR="00A47318" w:rsidP="00A47318">
      <w:pPr>
        <w:pStyle w:val="Heading3"/>
      </w:pPr>
      <w:r>
        <w:t>Definitions</w:t>
      </w:r>
    </w:p>
    <w:p w:rsidR="00A47318" w:rsidP="00A47318">
      <w:pPr>
        <w:pStyle w:val="Body"/>
      </w:pPr>
      <w:r w:rsidRPr="00FC3FC7">
        <w:rPr>
          <w:rStyle w:val="Heading1Char"/>
        </w:rPr>
        <w:t xml:space="preserve">Bloodborne Pathogens: </w:t>
      </w:r>
      <w:r>
        <w:t>(BBP) Pathogenic microorganisms that are present in human blood and can cause disease to humans, such as HIV and Hepatitis B.</w:t>
      </w:r>
    </w:p>
    <w:p w:rsidR="00A47318" w:rsidP="00A47318">
      <w:pPr>
        <w:pStyle w:val="Body"/>
      </w:pPr>
      <w:r w:rsidRPr="00FC3FC7">
        <w:rPr>
          <w:rStyle w:val="Heading1Char"/>
        </w:rPr>
        <w:t xml:space="preserve">Contaminated: </w:t>
      </w:r>
      <w:r>
        <w:t>The presence (or the reasonably anticipated presence) of blood or other potentially infectious materials on an item or surface.</w:t>
      </w:r>
    </w:p>
    <w:p w:rsidR="00A47318" w:rsidP="00A47318">
      <w:pPr>
        <w:pStyle w:val="Body"/>
      </w:pPr>
      <w:r w:rsidRPr="00FC3FC7">
        <w:rPr>
          <w:rStyle w:val="Heading1Char"/>
        </w:rPr>
        <w:t xml:space="preserve">Contractor:  </w:t>
      </w:r>
      <w:r>
        <w:t>A non-company employee being paid to perform work in our facility.</w:t>
      </w:r>
    </w:p>
    <w:p w:rsidR="00A47318" w:rsidP="00A47318">
      <w:pPr>
        <w:pStyle w:val="Body"/>
      </w:pPr>
      <w:r w:rsidRPr="00FC3FC7">
        <w:rPr>
          <w:rStyle w:val="Heading1Char"/>
        </w:rPr>
        <w:t>Exposure incident:</w:t>
      </w:r>
      <w:r>
        <w:t xml:space="preserve"> Any specific eye, mouth, other mucus membrane, non-intact skin or other contact with blood or potentially infected material.</w:t>
      </w:r>
    </w:p>
    <w:p w:rsidR="00A47318" w:rsidP="00A47318">
      <w:pPr>
        <w:pStyle w:val="Body"/>
      </w:pPr>
      <w:r w:rsidRPr="00FC3FC7">
        <w:rPr>
          <w:rStyle w:val="Heading1Char"/>
        </w:rPr>
        <w:t>Other Potentially Infected Material:</w:t>
      </w:r>
      <w:r>
        <w:t xml:space="preserve"> (OPIM) Any bodily fluid that is visibly contaminated with blood or any fluids in which it is difficult or impossible to tell what the fluid is and/or if it is contaminated with blood.</w:t>
      </w:r>
    </w:p>
    <w:p w:rsidR="00A47318" w:rsidP="00A47318">
      <w:pPr>
        <w:pStyle w:val="Body"/>
      </w:pPr>
      <w:r w:rsidRPr="00FC3FC7">
        <w:rPr>
          <w:rStyle w:val="Heading1Char"/>
        </w:rPr>
        <w:t xml:space="preserve">Personal Protective Equipment: </w:t>
      </w:r>
      <w:r>
        <w:t>(PPE) Gloves, safety glasses, suits, face shields, and similar items worn to prevent contact with blood or other bodily fluids.</w:t>
      </w:r>
    </w:p>
    <w:p w:rsidR="00A47318" w:rsidP="00A47318">
      <w:pPr>
        <w:pStyle w:val="Body"/>
      </w:pPr>
      <w:r w:rsidRPr="00FC3FC7">
        <w:rPr>
          <w:rStyle w:val="Heading1Char"/>
        </w:rPr>
        <w:t>Regulated Waste:</w:t>
      </w:r>
      <w:r>
        <w:t xml:space="preserve"> Liquid or semi-liquid blood or OPIM in a liquid or semi-liquid state if compressed; items that are caked with dried blood or OPIM and are capable of releasing these materials during handling; contaminated sharps; wastes containing pathogens or microbiological waste.</w:t>
      </w:r>
    </w:p>
    <w:p w:rsidR="00A47318" w:rsidP="00A47318">
      <w:pPr>
        <w:pStyle w:val="Body"/>
      </w:pPr>
      <w:r w:rsidRPr="00FC3FC7">
        <w:rPr>
          <w:rStyle w:val="Heading1Char"/>
        </w:rPr>
        <w:t>Sharps:</w:t>
      </w:r>
      <w:r>
        <w:t xml:space="preserve"> Medical devices with a point or a blade capable of penetrating human skin (</w:t>
      </w:r>
      <w:r w:rsidR="008505E7">
        <w:t>e.g. hypodermic needles, scal</w:t>
      </w:r>
      <w:bookmarkStart w:id="0" w:name="_GoBack"/>
      <w:bookmarkEnd w:id="0"/>
      <w:r w:rsidR="008505E7">
        <w:t>pel</w:t>
      </w:r>
      <w:r>
        <w:t>s, etc.).</w:t>
      </w:r>
    </w:p>
    <w:p w:rsidR="00A47318" w:rsidP="00A47318">
      <w:pPr>
        <w:pStyle w:val="Body"/>
      </w:pPr>
      <w:r w:rsidRPr="00FC3FC7">
        <w:rPr>
          <w:rStyle w:val="Heading1Char"/>
        </w:rPr>
        <w:t>Universal Precautions:</w:t>
      </w:r>
      <w:r>
        <w:t xml:space="preserve"> Our approach to infection control. All bodily fluid will be treated as if it was contaminated with a bloodborne pathogen and appropriate protection and sanitation steps will be taken.</w:t>
      </w:r>
    </w:p>
    <w:p w:rsidR="00A47318" w:rsidP="00A47318">
      <w:pPr>
        <w:pStyle w:val="Body"/>
      </w:pPr>
      <w:r w:rsidRPr="00FC3FC7">
        <w:rPr>
          <w:rStyle w:val="Heading1Char"/>
        </w:rPr>
        <w:t xml:space="preserve">Vendor: </w:t>
      </w:r>
      <w:r>
        <w:t xml:space="preserve"> A non-company employee being paid to perform a service in our facility.</w:t>
      </w:r>
    </w:p>
    <w:p w:rsidR="00A47318" w:rsidP="00A47318">
      <w:pPr>
        <w:pStyle w:val="Heading3"/>
      </w:pPr>
      <w:r>
        <w:t>Procedure</w:t>
      </w:r>
    </w:p>
    <w:p w:rsidR="00A47318" w:rsidP="00A47318">
      <w:pPr>
        <w:pStyle w:val="Heading1"/>
        <w:spacing w:before="0"/>
      </w:pPr>
      <w:r>
        <w:t>Exposure Control Plan</w:t>
      </w:r>
    </w:p>
    <w:p w:rsidR="00A47318" w:rsidP="00A47318">
      <w:pPr>
        <w:pStyle w:val="Body"/>
      </w:pPr>
      <w:r>
        <w:t>There are only two possibilities for bloodborne pathogens exposure in our facility:</w:t>
      </w:r>
    </w:p>
    <w:p w:rsidR="00A47318" w:rsidP="00A47318">
      <w:pPr>
        <w:pStyle w:val="NoSpacing"/>
      </w:pPr>
      <w:r>
        <w:t>While responding to an illness or injury to provide first aid care; or</w:t>
      </w:r>
    </w:p>
    <w:p w:rsidR="00A47318" w:rsidP="00A47318">
      <w:pPr>
        <w:pStyle w:val="NoSpacing"/>
      </w:pPr>
      <w:r>
        <w:t>When cleaning and sanitizing a bodily fluid spill.</w:t>
      </w:r>
    </w:p>
    <w:p w:rsidR="00A47318" w:rsidP="00A47318">
      <w:pPr>
        <w:pStyle w:val="Body"/>
      </w:pPr>
      <w:r>
        <w:t xml:space="preserve">Additionally, an employee could experience unintended exposure from contact with blood or </w:t>
      </w:r>
      <w:r>
        <w:tab/>
        <w:t>OPIM.</w:t>
      </w:r>
    </w:p>
    <w:p w:rsidR="00A47318" w:rsidP="00A47318">
      <w:pPr>
        <w:pStyle w:val="Body"/>
      </w:pPr>
      <w:r>
        <w:t>Accordingly, there are no direct engineering controls available. Our exposure control plan is:</w:t>
      </w:r>
    </w:p>
    <w:p w:rsidR="00A47318" w:rsidP="00A47318">
      <w:pPr>
        <w:pStyle w:val="Body"/>
        <w:numPr>
          <w:ilvl w:val="0"/>
          <w:numId w:val="5"/>
        </w:numPr>
      </w:pPr>
      <w:r>
        <w:t>Only designated personnel who are trained, authorized and equipped to respond to medical emergencies and or bodily fluid spills will do so. All other personnel will avoid contact and notify their supervisor if a spill or exposure incident is encountered;</w:t>
      </w:r>
    </w:p>
    <w:p w:rsidR="00A47318" w:rsidP="00A47318">
      <w:pPr>
        <w:pStyle w:val="Body"/>
        <w:numPr>
          <w:ilvl w:val="0"/>
          <w:numId w:val="5"/>
        </w:numPr>
      </w:pPr>
      <w:r>
        <w:t>While responding to bodily fluid spills, an appropriate level of PPE will be worn including:</w:t>
      </w:r>
    </w:p>
    <w:p w:rsidR="00A47318" w:rsidP="00A47318">
      <w:pPr>
        <w:pStyle w:val="NoSpacing"/>
        <w:ind w:left="1260"/>
      </w:pPr>
      <w:r>
        <w:t>Safety glasses—Incidents with minimal exposure potential (e.g. a laceration with minimal bleeding);</w:t>
      </w:r>
    </w:p>
    <w:p w:rsidR="00A47318" w:rsidP="00A47318">
      <w:pPr>
        <w:pStyle w:val="NoSpacing"/>
        <w:ind w:left="1260"/>
      </w:pPr>
      <w:r>
        <w:t>Face Shield—Incidents with a potential of bodily fluid becoming airborne (e.g. a laceration with spurting, arterial bleeding);</w:t>
      </w:r>
    </w:p>
    <w:p w:rsidR="00A47318" w:rsidP="00A47318">
      <w:pPr>
        <w:pStyle w:val="NoSpacing"/>
        <w:ind w:left="1260"/>
      </w:pPr>
      <w:r>
        <w:t>Disposable liquid-proof gloves—All incidents;</w:t>
      </w:r>
    </w:p>
    <w:p w:rsidR="00A47318" w:rsidP="00A47318">
      <w:pPr>
        <w:pStyle w:val="NoSpacing"/>
        <w:ind w:left="1260"/>
      </w:pPr>
      <w:r>
        <w:t>Apron (or disposable suit) and shoe covers—Incidents with a potential of bodily fluid becoming airborne or incidents in which response personnel could walk through a spill or move against material contaminated with a spill; or</w:t>
      </w:r>
    </w:p>
    <w:p w:rsidR="00A47318" w:rsidP="00A47318">
      <w:pPr>
        <w:pStyle w:val="NoSpacing"/>
        <w:ind w:left="1260"/>
      </w:pPr>
      <w:r>
        <w:t>Barrier mask and/or Bag Valve Mask—Incidents requiring mouth-to-mouth or mouth-to-nose breathing;</w:t>
      </w:r>
    </w:p>
    <w:p w:rsidR="00B15589" w:rsidP="00B15589">
      <w:pPr>
        <w:pStyle w:val="NoSpacing"/>
      </w:pPr>
      <w:r>
        <w:t>Adequate supplies of personal protective equipment are kept in the following locations and are available for employee use (at no cost to employees):</w:t>
      </w:r>
    </w:p>
    <w:p w:rsidR="00B15589" w:rsidP="00B15589">
      <w:pPr>
        <w:pStyle w:val="NoSpacing"/>
        <w:numPr>
          <w:ilvl w:val="0"/>
          <w:numId w:val="0"/>
        </w:numPr>
        <w:ind w:left="720"/>
      </w:pPr>
      <w:r w:rsidRPr="00FC3FC7">
        <w:rPr>
          <w:color w:val="FF0000"/>
        </w:rPr>
        <w:t xml:space="preserve">(List locations of BBP PPE) </w:t>
      </w:r>
      <w:r>
        <w:t>________________________________________________.</w:t>
      </w:r>
    </w:p>
    <w:p w:rsidR="00A47318" w:rsidP="00A47318">
      <w:pPr>
        <w:pStyle w:val="Body"/>
        <w:numPr>
          <w:ilvl w:val="0"/>
          <w:numId w:val="5"/>
        </w:numPr>
      </w:pPr>
      <w:r>
        <w:t>Regulated waste (such as contaminated dressings and bandages) and other materials will be double bagged in red biohazard bags and disposed of as regulated waste using an approved disposal contractor. We do not use any medical sharps;</w:t>
      </w:r>
    </w:p>
    <w:p w:rsidR="00A47318" w:rsidP="00A47318">
      <w:pPr>
        <w:pStyle w:val="Body"/>
        <w:numPr>
          <w:ilvl w:val="0"/>
          <w:numId w:val="5"/>
        </w:numPr>
      </w:pPr>
      <w:r>
        <w:t>All potentially contaminated surfaces will be cleaned and sanitized with an approved sanitizing solution or will be disposed of as contaminated medical waste. Personnel performing this duty will be trained in all aspects of this plan and will be required to wear appropriate PPE as outlined above;</w:t>
      </w:r>
    </w:p>
    <w:p w:rsidR="00A47318" w:rsidP="00A47318">
      <w:pPr>
        <w:pStyle w:val="Body"/>
        <w:numPr>
          <w:ilvl w:val="0"/>
          <w:numId w:val="5"/>
        </w:numPr>
      </w:pPr>
      <w:r>
        <w:t>After performing necessary duties personnel will clean, sanitize, remove and discard any contaminated PPE;</w:t>
      </w:r>
    </w:p>
    <w:p w:rsidR="00B15589" w:rsidRPr="00B15589" w:rsidP="00B15589">
      <w:pPr>
        <w:numPr>
          <w:ilvl w:val="0"/>
          <w:numId w:val="5"/>
        </w:numPr>
        <w:rPr>
          <w:rFonts w:eastAsia="Times New Roman"/>
          <w:color w:val="000000"/>
          <w:szCs w:val="20"/>
        </w:rPr>
      </w:pPr>
      <w:r w:rsidRPr="00B15589">
        <w:rPr>
          <w:rFonts w:eastAsia="Times New Roman"/>
          <w:color w:val="000000"/>
          <w:szCs w:val="20"/>
        </w:rPr>
        <w:t>All personnel are required to wash their hands with soap and warm water.  (Handwashing facilities (or waterless skin sanitizer when potable water is remote from the scene) is will be available to use when potable water is remote from the scene) immediately after removing PPE;</w:t>
      </w:r>
    </w:p>
    <w:p w:rsidR="00A47318" w:rsidP="00A47318">
      <w:pPr>
        <w:pStyle w:val="Body"/>
        <w:numPr>
          <w:ilvl w:val="0"/>
          <w:numId w:val="5"/>
        </w:numPr>
      </w:pPr>
      <w:r>
        <w:t>If an exposure is suspected, any employee, trained or untrained, should immediately:</w:t>
      </w:r>
    </w:p>
    <w:p w:rsidR="00A47318" w:rsidP="00A47318">
      <w:pPr>
        <w:pStyle w:val="NoSpacing"/>
        <w:ind w:left="1260"/>
      </w:pPr>
      <w:r>
        <w:t>Wash exposed skin surfaces with large amounts of soap and warm water;</w:t>
      </w:r>
    </w:p>
    <w:p w:rsidR="00A47318" w:rsidP="00A47318">
      <w:pPr>
        <w:pStyle w:val="NoSpacing"/>
        <w:ind w:left="1260"/>
      </w:pPr>
      <w:r>
        <w:t xml:space="preserve">Rinse exposed mucus membranes with large quantities of warm water; </w:t>
      </w:r>
    </w:p>
    <w:p w:rsidR="00A47318" w:rsidP="00A47318">
      <w:pPr>
        <w:pStyle w:val="NoSpacing"/>
        <w:ind w:left="1260"/>
      </w:pPr>
      <w:r>
        <w:t>Report any actual or suspected exposure incident to their supervisor or the plan administrator. The employee will immediately be referred to a physician or other licensed health care provider for a confidential follow-up (at no cost to the employee);</w:t>
      </w:r>
    </w:p>
    <w:p w:rsidR="00A47318" w:rsidP="00A47318">
      <w:pPr>
        <w:pStyle w:val="Heading1"/>
      </w:pPr>
      <w:r>
        <w:t>Plan Review</w:t>
      </w:r>
    </w:p>
    <w:p w:rsidR="00A47318" w:rsidP="00A47318">
      <w:pPr>
        <w:pStyle w:val="Body"/>
      </w:pPr>
      <w:r>
        <w:t>The program administrator will review and revise this plan annually and as needed.</w:t>
      </w:r>
    </w:p>
    <w:p w:rsidR="00A47318" w:rsidP="00A47318">
      <w:pPr>
        <w:pStyle w:val="Heading1"/>
      </w:pPr>
      <w:r>
        <w:t>Training</w:t>
      </w:r>
    </w:p>
    <w:p w:rsidR="00B15589" w:rsidRPr="00B15589" w:rsidP="00A47318">
      <w:pPr>
        <w:pStyle w:val="Body"/>
        <w:rPr>
          <w:color w:val="FF0000"/>
        </w:rPr>
      </w:pPr>
      <w:r w:rsidRPr="00B15589">
        <w:t xml:space="preserve">All employees who are authorized to respond to potential exposure incidents will be trained annually regarding this exposure control plan and their duties. Employees wishing to access these training materials before their annual training, including the exposure control plan, may do so by </w:t>
      </w:r>
      <w:r w:rsidRPr="00B15589">
        <w:rPr>
          <w:color w:val="FF0000"/>
        </w:rPr>
        <w:t>[INSERT INSTRUCTIONS FOR ACCESSING THESE MATERIALS]</w:t>
      </w:r>
    </w:p>
    <w:p w:rsidR="00A47318" w:rsidP="00A47318">
      <w:pPr>
        <w:pStyle w:val="Body"/>
      </w:pPr>
      <w:r>
        <w:t>Employees who have no occupational contact with potentially contaminated materials will receive awareness training upon hire.</w:t>
      </w:r>
    </w:p>
    <w:p w:rsidR="00A47318" w:rsidP="00A47318">
      <w:pPr>
        <w:pStyle w:val="Heading1"/>
      </w:pPr>
      <w:r>
        <w:t>Hepatitis B Vaccination</w:t>
      </w:r>
    </w:p>
    <w:p w:rsidR="00A47318" w:rsidP="00A47318">
      <w:pPr>
        <w:pStyle w:val="Body"/>
      </w:pPr>
      <w:r>
        <w:t>All personnel who are assigned job duties where they are required to respond to potential exposure incidents will be offered the Hepatitis B vaccination series at no cost. The initial offer of the Hepatitis B vaccination will be within 10 days of assignment. If the employee initially declines the vaccination he or she can rescind the declination at any time. Any employee who declines the Hepatitis B vaccination is required to sign the declination form. (See Appendix A for copies of the Acceptance and Declination statements)</w:t>
      </w:r>
    </w:p>
    <w:p w:rsidR="00A47318" w:rsidP="00A47318">
      <w:pPr>
        <w:pStyle w:val="Heading1"/>
      </w:pPr>
      <w:r>
        <w:t>Recordkeeping</w:t>
      </w:r>
    </w:p>
    <w:p w:rsidR="00A47318" w:rsidP="00A47318">
      <w:pPr>
        <w:pStyle w:val="Body"/>
      </w:pPr>
      <w:r>
        <w:t>The employer will maintain accurate records for each employee with exposure to bloodborne pathogens. Each exposed employee record will include:</w:t>
      </w:r>
    </w:p>
    <w:p w:rsidR="00A47318" w:rsidP="00A47318">
      <w:pPr>
        <w:pStyle w:val="NoSpacing"/>
      </w:pPr>
      <w:r>
        <w:t>The name and Social Security number of the employee;</w:t>
      </w:r>
    </w:p>
    <w:p w:rsidR="00A47318" w:rsidP="00A47318">
      <w:pPr>
        <w:pStyle w:val="NoSpacing"/>
      </w:pPr>
      <w:r>
        <w:t>A copy of the employee's hepatitis B vaccination status (including the dates of all the hepatitis B vaccinations and any medical records relative to the employee's ability to receive vaccination);</w:t>
      </w:r>
    </w:p>
    <w:p w:rsidR="00A47318" w:rsidP="00A47318">
      <w:pPr>
        <w:pStyle w:val="NoSpacing"/>
      </w:pPr>
      <w:r>
        <w:t>A copy of all results of examinations, medical testing, and follow-up procedures;</w:t>
      </w:r>
    </w:p>
    <w:p w:rsidR="00A47318" w:rsidP="00A47318">
      <w:pPr>
        <w:pStyle w:val="NoSpacing"/>
      </w:pPr>
      <w:r>
        <w:t>The employer's copy of the healthcare professional's written opinion; and</w:t>
      </w:r>
    </w:p>
    <w:p w:rsidR="00A47318" w:rsidP="00A47318">
      <w:pPr>
        <w:pStyle w:val="NoSpacing"/>
      </w:pPr>
      <w:r>
        <w:t>A copy of the information provided to the healthcare professional.</w:t>
      </w:r>
    </w:p>
    <w:p w:rsidR="00A47318" w:rsidP="00A47318">
      <w:pPr>
        <w:pStyle w:val="Body"/>
      </w:pPr>
      <w:r>
        <w:t>The employer will ensure that employee medical records are kept confidential and not disclosed or reported without the employee's express written consent to any person within or outside the workplace, except as required by this section or as may be required by law.</w:t>
      </w:r>
    </w:p>
    <w:p w:rsidR="00A47318" w:rsidRPr="00CA793E" w:rsidP="00A47318">
      <w:pPr>
        <w:pStyle w:val="Heading3"/>
      </w:pPr>
      <w:r>
        <w:br w:type="page"/>
      </w:r>
      <w:r w:rsidRPr="00CA793E">
        <w:t>Revision History Record:</w:t>
      </w:r>
    </w:p>
    <w:p w:rsidR="00A47318" w:rsidRPr="00400112" w:rsidP="00A47318"/>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314"/>
        <w:gridCol w:w="1682"/>
        <w:gridCol w:w="1911"/>
        <w:gridCol w:w="5641"/>
      </w:tblGrid>
      <w:tr w:rsidTr="006012E0">
        <w:tblPrEx>
          <w:tblW w:w="0" w:type="auto"/>
          <w:jc w:val="center"/>
          <w:tblBorders>
            <w:top w:val="single" w:sz="12" w:space="0" w:color="auto"/>
            <w:left w:val="single" w:sz="12" w:space="0" w:color="auto"/>
            <w:bottom w:val="single" w:sz="12" w:space="0" w:color="auto"/>
            <w:right w:val="single" w:sz="12" w:space="0" w:color="auto"/>
          </w:tblBorders>
          <w:tblLayout w:type="fixed"/>
          <w:tblLook w:val="0000"/>
        </w:tblPrEx>
        <w:trPr>
          <w:cantSplit/>
          <w:jc w:val="center"/>
        </w:trPr>
        <w:tc>
          <w:tcPr>
            <w:tcW w:w="1314" w:type="dxa"/>
            <w:tcBorders>
              <w:top w:val="single" w:sz="4" w:space="0" w:color="auto"/>
              <w:left w:val="single" w:sz="4" w:space="0" w:color="auto"/>
              <w:bottom w:val="nil"/>
              <w:right w:val="single" w:sz="4" w:space="0" w:color="auto"/>
            </w:tcBorders>
            <w:shd w:val="pct10" w:color="auto" w:fill="auto"/>
          </w:tcPr>
          <w:p w:rsidR="00A47318" w:rsidRPr="007A13FE" w:rsidP="006012E0">
            <w:pPr>
              <w:jc w:val="center"/>
              <w:rPr>
                <w:szCs w:val="20"/>
              </w:rPr>
            </w:pPr>
            <w:r w:rsidRPr="007A13FE">
              <w:rPr>
                <w:b/>
                <w:szCs w:val="20"/>
              </w:rPr>
              <w:t>Revision</w:t>
            </w:r>
          </w:p>
          <w:p w:rsidR="00A47318" w:rsidRPr="007A13FE" w:rsidP="006012E0">
            <w:pPr>
              <w:jc w:val="center"/>
              <w:rPr>
                <w:szCs w:val="20"/>
              </w:rPr>
            </w:pPr>
            <w:r w:rsidRPr="007A13FE">
              <w:rPr>
                <w:b/>
                <w:szCs w:val="20"/>
              </w:rPr>
              <w:t>Number</w:t>
            </w:r>
          </w:p>
        </w:tc>
        <w:tc>
          <w:tcPr>
            <w:tcW w:w="1682" w:type="dxa"/>
            <w:tcBorders>
              <w:top w:val="single" w:sz="4" w:space="0" w:color="auto"/>
              <w:left w:val="nil"/>
              <w:bottom w:val="nil"/>
              <w:right w:val="single" w:sz="4" w:space="0" w:color="auto"/>
            </w:tcBorders>
            <w:shd w:val="pct10" w:color="auto" w:fill="auto"/>
          </w:tcPr>
          <w:p w:rsidR="00A47318" w:rsidRPr="007A13FE" w:rsidP="006012E0">
            <w:pPr>
              <w:jc w:val="center"/>
              <w:rPr>
                <w:szCs w:val="20"/>
              </w:rPr>
            </w:pPr>
            <w:r w:rsidRPr="007A13FE">
              <w:rPr>
                <w:b/>
                <w:szCs w:val="20"/>
              </w:rPr>
              <w:t>Section</w:t>
            </w:r>
          </w:p>
          <w:p w:rsidR="00A47318" w:rsidRPr="007A13FE" w:rsidP="006012E0">
            <w:pPr>
              <w:jc w:val="center"/>
              <w:rPr>
                <w:szCs w:val="20"/>
              </w:rPr>
            </w:pPr>
          </w:p>
        </w:tc>
        <w:tc>
          <w:tcPr>
            <w:tcW w:w="1911" w:type="dxa"/>
            <w:tcBorders>
              <w:top w:val="single" w:sz="4" w:space="0" w:color="auto"/>
              <w:left w:val="nil"/>
              <w:bottom w:val="nil"/>
              <w:right w:val="single" w:sz="4" w:space="0" w:color="auto"/>
            </w:tcBorders>
            <w:shd w:val="pct10" w:color="auto" w:fill="auto"/>
          </w:tcPr>
          <w:p w:rsidR="00A47318" w:rsidRPr="007A13FE" w:rsidP="006012E0">
            <w:pPr>
              <w:jc w:val="center"/>
              <w:rPr>
                <w:szCs w:val="20"/>
              </w:rPr>
            </w:pPr>
            <w:r w:rsidRPr="007A13FE">
              <w:rPr>
                <w:b/>
                <w:szCs w:val="20"/>
              </w:rPr>
              <w:t>Revised By</w:t>
            </w:r>
          </w:p>
          <w:p w:rsidR="00A47318" w:rsidRPr="007A13FE" w:rsidP="006012E0">
            <w:pPr>
              <w:jc w:val="center"/>
              <w:rPr>
                <w:szCs w:val="20"/>
              </w:rPr>
            </w:pPr>
          </w:p>
        </w:tc>
        <w:tc>
          <w:tcPr>
            <w:tcW w:w="5641" w:type="dxa"/>
            <w:tcBorders>
              <w:top w:val="single" w:sz="4" w:space="0" w:color="auto"/>
              <w:left w:val="nil"/>
              <w:bottom w:val="nil"/>
              <w:right w:val="single" w:sz="4" w:space="0" w:color="auto"/>
            </w:tcBorders>
            <w:shd w:val="pct10" w:color="auto" w:fill="auto"/>
          </w:tcPr>
          <w:p w:rsidR="00A47318" w:rsidRPr="007A13FE" w:rsidP="006012E0">
            <w:pPr>
              <w:rPr>
                <w:szCs w:val="20"/>
              </w:rPr>
            </w:pPr>
            <w:r w:rsidRPr="007A13FE">
              <w:rPr>
                <w:b/>
                <w:szCs w:val="20"/>
              </w:rPr>
              <w:t>Description</w:t>
            </w:r>
          </w:p>
        </w:tc>
      </w:tr>
      <w:tr w:rsidTr="006012E0">
        <w:tblPrEx>
          <w:tblW w:w="0" w:type="auto"/>
          <w:jc w:val="center"/>
          <w:tblLayout w:type="fixed"/>
          <w:tblLook w:val="0000"/>
        </w:tblPrEx>
        <w:trPr>
          <w:cantSplit/>
          <w:jc w:val="center"/>
        </w:trPr>
        <w:tc>
          <w:tcPr>
            <w:tcW w:w="1314" w:type="dxa"/>
            <w:tcBorders>
              <w:top w:val="single" w:sz="4" w:space="0" w:color="auto"/>
              <w:left w:val="single" w:sz="4" w:space="0" w:color="auto"/>
              <w:bottom w:val="nil"/>
              <w:right w:val="single" w:sz="4" w:space="0" w:color="auto"/>
            </w:tcBorders>
          </w:tcPr>
          <w:p w:rsidR="00A47318" w:rsidRPr="007A13FE" w:rsidP="006012E0">
            <w:pPr>
              <w:jc w:val="center"/>
              <w:rPr>
                <w:szCs w:val="20"/>
              </w:rPr>
            </w:pPr>
            <w:r w:rsidRPr="007A13FE">
              <w:rPr>
                <w:szCs w:val="20"/>
              </w:rPr>
              <w:t>0</w:t>
            </w:r>
          </w:p>
        </w:tc>
        <w:tc>
          <w:tcPr>
            <w:tcW w:w="1682" w:type="dxa"/>
            <w:tcBorders>
              <w:top w:val="single" w:sz="4" w:space="0" w:color="auto"/>
              <w:left w:val="nil"/>
              <w:bottom w:val="nil"/>
              <w:right w:val="single" w:sz="4" w:space="0" w:color="auto"/>
            </w:tcBorders>
          </w:tcPr>
          <w:p w:rsidR="00A47318" w:rsidRPr="007A13FE" w:rsidP="006012E0">
            <w:pPr>
              <w:jc w:val="center"/>
              <w:rPr>
                <w:szCs w:val="20"/>
              </w:rPr>
            </w:pPr>
            <w:r w:rsidRPr="007A13FE">
              <w:rPr>
                <w:szCs w:val="20"/>
              </w:rPr>
              <w:t>NA</w:t>
            </w:r>
          </w:p>
        </w:tc>
        <w:tc>
          <w:tcPr>
            <w:tcW w:w="1911" w:type="dxa"/>
            <w:tcBorders>
              <w:top w:val="single" w:sz="4" w:space="0" w:color="auto"/>
              <w:left w:val="nil"/>
              <w:bottom w:val="nil"/>
              <w:right w:val="single" w:sz="4" w:space="0" w:color="auto"/>
            </w:tcBorders>
          </w:tcPr>
          <w:p w:rsidR="00A47318" w:rsidRPr="007A13FE" w:rsidP="006012E0">
            <w:pPr>
              <w:jc w:val="center"/>
              <w:rPr>
                <w:szCs w:val="20"/>
              </w:rPr>
            </w:pPr>
            <w:r w:rsidRPr="007A13FE">
              <w:rPr>
                <w:szCs w:val="20"/>
              </w:rPr>
              <w:t>NA</w:t>
            </w:r>
          </w:p>
        </w:tc>
        <w:tc>
          <w:tcPr>
            <w:tcW w:w="5641" w:type="dxa"/>
            <w:tcBorders>
              <w:top w:val="single" w:sz="4" w:space="0" w:color="auto"/>
              <w:left w:val="nil"/>
              <w:bottom w:val="nil"/>
              <w:right w:val="single" w:sz="4" w:space="0" w:color="auto"/>
            </w:tcBorders>
          </w:tcPr>
          <w:p w:rsidR="00A47318" w:rsidRPr="007A13FE" w:rsidP="006012E0">
            <w:pPr>
              <w:rPr>
                <w:szCs w:val="20"/>
              </w:rPr>
            </w:pPr>
            <w:r w:rsidRPr="007A13FE">
              <w:rPr>
                <w:szCs w:val="20"/>
              </w:rPr>
              <w:t>Original document.</w:t>
            </w:r>
          </w:p>
        </w:tc>
      </w:tr>
      <w:tr w:rsidTr="006012E0">
        <w:tblPrEx>
          <w:tblW w:w="0" w:type="auto"/>
          <w:jc w:val="center"/>
          <w:tblLayout w:type="fixed"/>
          <w:tblLook w:val="0000"/>
        </w:tblPrEx>
        <w:trPr>
          <w:cantSplit/>
          <w:jc w:val="center"/>
        </w:trPr>
        <w:tc>
          <w:tcPr>
            <w:tcW w:w="1314" w:type="dxa"/>
            <w:tcBorders>
              <w:top w:val="nil"/>
              <w:left w:val="single" w:sz="4" w:space="0" w:color="auto"/>
              <w:bottom w:val="nil"/>
              <w:right w:val="single" w:sz="4" w:space="0" w:color="auto"/>
            </w:tcBorders>
          </w:tcPr>
          <w:p w:rsidR="00A47318" w:rsidRPr="007A13FE" w:rsidP="006012E0">
            <w:pPr>
              <w:jc w:val="center"/>
              <w:rPr>
                <w:szCs w:val="20"/>
              </w:rPr>
            </w:pPr>
          </w:p>
        </w:tc>
        <w:tc>
          <w:tcPr>
            <w:tcW w:w="1682" w:type="dxa"/>
            <w:tcBorders>
              <w:top w:val="nil"/>
              <w:left w:val="nil"/>
              <w:bottom w:val="nil"/>
              <w:right w:val="single" w:sz="4" w:space="0" w:color="auto"/>
            </w:tcBorders>
          </w:tcPr>
          <w:p w:rsidR="00A47318" w:rsidRPr="007A13FE" w:rsidP="006012E0">
            <w:pPr>
              <w:jc w:val="center"/>
              <w:rPr>
                <w:szCs w:val="20"/>
              </w:rPr>
            </w:pPr>
          </w:p>
        </w:tc>
        <w:tc>
          <w:tcPr>
            <w:tcW w:w="1911" w:type="dxa"/>
            <w:tcBorders>
              <w:top w:val="nil"/>
              <w:left w:val="nil"/>
              <w:bottom w:val="nil"/>
              <w:right w:val="single" w:sz="4" w:space="0" w:color="auto"/>
            </w:tcBorders>
          </w:tcPr>
          <w:p w:rsidR="00A47318" w:rsidRPr="007A13FE" w:rsidP="006012E0">
            <w:pPr>
              <w:jc w:val="center"/>
              <w:rPr>
                <w:szCs w:val="20"/>
              </w:rPr>
            </w:pPr>
          </w:p>
        </w:tc>
        <w:tc>
          <w:tcPr>
            <w:tcW w:w="5641" w:type="dxa"/>
            <w:tcBorders>
              <w:top w:val="nil"/>
              <w:left w:val="nil"/>
              <w:bottom w:val="nil"/>
              <w:right w:val="single" w:sz="4" w:space="0" w:color="auto"/>
            </w:tcBorders>
          </w:tcPr>
          <w:p w:rsidR="00A47318" w:rsidRPr="007A13FE" w:rsidP="006012E0">
            <w:pPr>
              <w:rPr>
                <w:szCs w:val="20"/>
              </w:rPr>
            </w:pPr>
          </w:p>
        </w:tc>
      </w:tr>
      <w:tr w:rsidTr="006012E0">
        <w:tblPrEx>
          <w:tblW w:w="0" w:type="auto"/>
          <w:jc w:val="center"/>
          <w:tblLayout w:type="fixed"/>
          <w:tblLook w:val="0000"/>
        </w:tblPrEx>
        <w:trPr>
          <w:cantSplit/>
          <w:jc w:val="center"/>
        </w:trPr>
        <w:tc>
          <w:tcPr>
            <w:tcW w:w="1314" w:type="dxa"/>
            <w:tcBorders>
              <w:top w:val="single" w:sz="4" w:space="0" w:color="auto"/>
              <w:left w:val="single" w:sz="4" w:space="0" w:color="auto"/>
              <w:bottom w:val="nil"/>
              <w:right w:val="single" w:sz="4" w:space="0" w:color="auto"/>
            </w:tcBorders>
          </w:tcPr>
          <w:p w:rsidR="00A47318" w:rsidRPr="007A13FE" w:rsidP="006012E0">
            <w:pPr>
              <w:jc w:val="center"/>
              <w:rPr>
                <w:szCs w:val="20"/>
              </w:rPr>
            </w:pPr>
          </w:p>
        </w:tc>
        <w:tc>
          <w:tcPr>
            <w:tcW w:w="1682" w:type="dxa"/>
            <w:tcBorders>
              <w:top w:val="single" w:sz="4" w:space="0" w:color="auto"/>
              <w:left w:val="nil"/>
              <w:bottom w:val="nil"/>
              <w:right w:val="single" w:sz="4" w:space="0" w:color="auto"/>
            </w:tcBorders>
          </w:tcPr>
          <w:p w:rsidR="00A47318" w:rsidRPr="007A13FE" w:rsidP="006012E0">
            <w:pPr>
              <w:jc w:val="center"/>
              <w:rPr>
                <w:szCs w:val="20"/>
              </w:rPr>
            </w:pPr>
          </w:p>
        </w:tc>
        <w:tc>
          <w:tcPr>
            <w:tcW w:w="1911" w:type="dxa"/>
            <w:tcBorders>
              <w:top w:val="single" w:sz="4" w:space="0" w:color="auto"/>
              <w:left w:val="nil"/>
              <w:bottom w:val="nil"/>
              <w:right w:val="single" w:sz="4" w:space="0" w:color="auto"/>
            </w:tcBorders>
          </w:tcPr>
          <w:p w:rsidR="00A47318" w:rsidRPr="007A13FE" w:rsidP="006012E0">
            <w:pPr>
              <w:jc w:val="center"/>
              <w:rPr>
                <w:szCs w:val="20"/>
              </w:rPr>
            </w:pPr>
          </w:p>
        </w:tc>
        <w:tc>
          <w:tcPr>
            <w:tcW w:w="5641" w:type="dxa"/>
            <w:tcBorders>
              <w:top w:val="single" w:sz="4" w:space="0" w:color="auto"/>
              <w:left w:val="nil"/>
              <w:bottom w:val="nil"/>
              <w:right w:val="single" w:sz="4" w:space="0" w:color="auto"/>
            </w:tcBorders>
          </w:tcPr>
          <w:p w:rsidR="00A47318" w:rsidRPr="007A13FE" w:rsidP="006012E0">
            <w:pPr>
              <w:rPr>
                <w:szCs w:val="20"/>
              </w:rPr>
            </w:pPr>
          </w:p>
        </w:tc>
      </w:tr>
      <w:tr w:rsidTr="006012E0">
        <w:tblPrEx>
          <w:tblW w:w="0" w:type="auto"/>
          <w:jc w:val="center"/>
          <w:tblLayout w:type="fixed"/>
          <w:tblLook w:val="0000"/>
        </w:tblPrEx>
        <w:trPr>
          <w:cantSplit/>
          <w:jc w:val="center"/>
        </w:trPr>
        <w:tc>
          <w:tcPr>
            <w:tcW w:w="1314" w:type="dxa"/>
            <w:tcBorders>
              <w:top w:val="nil"/>
              <w:left w:val="single" w:sz="4" w:space="0" w:color="auto"/>
              <w:bottom w:val="nil"/>
              <w:right w:val="single" w:sz="4" w:space="0" w:color="auto"/>
            </w:tcBorders>
          </w:tcPr>
          <w:p w:rsidR="00A47318" w:rsidRPr="007A13FE" w:rsidP="006012E0">
            <w:pPr>
              <w:jc w:val="center"/>
              <w:rPr>
                <w:szCs w:val="20"/>
              </w:rPr>
            </w:pPr>
          </w:p>
        </w:tc>
        <w:tc>
          <w:tcPr>
            <w:tcW w:w="1682" w:type="dxa"/>
            <w:tcBorders>
              <w:top w:val="nil"/>
              <w:left w:val="nil"/>
              <w:bottom w:val="nil"/>
              <w:right w:val="single" w:sz="4" w:space="0" w:color="auto"/>
            </w:tcBorders>
          </w:tcPr>
          <w:p w:rsidR="00A47318" w:rsidRPr="007A13FE" w:rsidP="006012E0">
            <w:pPr>
              <w:jc w:val="center"/>
              <w:rPr>
                <w:szCs w:val="20"/>
              </w:rPr>
            </w:pPr>
          </w:p>
        </w:tc>
        <w:tc>
          <w:tcPr>
            <w:tcW w:w="1911" w:type="dxa"/>
            <w:tcBorders>
              <w:top w:val="nil"/>
              <w:left w:val="nil"/>
              <w:bottom w:val="nil"/>
              <w:right w:val="single" w:sz="4" w:space="0" w:color="auto"/>
            </w:tcBorders>
          </w:tcPr>
          <w:p w:rsidR="00A47318" w:rsidRPr="007A13FE" w:rsidP="006012E0">
            <w:pPr>
              <w:jc w:val="center"/>
              <w:rPr>
                <w:szCs w:val="20"/>
              </w:rPr>
            </w:pPr>
          </w:p>
        </w:tc>
        <w:tc>
          <w:tcPr>
            <w:tcW w:w="5641" w:type="dxa"/>
            <w:tcBorders>
              <w:top w:val="nil"/>
              <w:left w:val="nil"/>
              <w:bottom w:val="nil"/>
              <w:right w:val="single" w:sz="4" w:space="0" w:color="auto"/>
            </w:tcBorders>
          </w:tcPr>
          <w:p w:rsidR="00A47318" w:rsidRPr="007A13FE" w:rsidP="006012E0">
            <w:pPr>
              <w:rPr>
                <w:szCs w:val="20"/>
              </w:rPr>
            </w:pPr>
          </w:p>
        </w:tc>
      </w:tr>
      <w:tr w:rsidTr="006012E0">
        <w:tblPrEx>
          <w:tblW w:w="0" w:type="auto"/>
          <w:jc w:val="center"/>
          <w:tblLayout w:type="fixed"/>
          <w:tblLook w:val="0000"/>
        </w:tblPrEx>
        <w:trPr>
          <w:cantSplit/>
          <w:jc w:val="center"/>
        </w:trPr>
        <w:tc>
          <w:tcPr>
            <w:tcW w:w="1314" w:type="dxa"/>
            <w:tcBorders>
              <w:top w:val="single" w:sz="4" w:space="0" w:color="auto"/>
              <w:left w:val="single" w:sz="4" w:space="0" w:color="auto"/>
              <w:bottom w:val="nil"/>
              <w:right w:val="single" w:sz="4" w:space="0" w:color="auto"/>
            </w:tcBorders>
          </w:tcPr>
          <w:p w:rsidR="00A47318" w:rsidRPr="007A13FE" w:rsidP="006012E0">
            <w:pPr>
              <w:jc w:val="center"/>
              <w:rPr>
                <w:szCs w:val="20"/>
              </w:rPr>
            </w:pPr>
          </w:p>
        </w:tc>
        <w:tc>
          <w:tcPr>
            <w:tcW w:w="1682" w:type="dxa"/>
            <w:tcBorders>
              <w:top w:val="single" w:sz="4" w:space="0" w:color="auto"/>
              <w:left w:val="nil"/>
              <w:bottom w:val="nil"/>
              <w:right w:val="single" w:sz="4" w:space="0" w:color="auto"/>
            </w:tcBorders>
          </w:tcPr>
          <w:p w:rsidR="00A47318" w:rsidRPr="007A13FE" w:rsidP="006012E0">
            <w:pPr>
              <w:jc w:val="center"/>
              <w:rPr>
                <w:szCs w:val="20"/>
              </w:rPr>
            </w:pPr>
          </w:p>
        </w:tc>
        <w:tc>
          <w:tcPr>
            <w:tcW w:w="1911" w:type="dxa"/>
            <w:tcBorders>
              <w:top w:val="single" w:sz="4" w:space="0" w:color="auto"/>
              <w:left w:val="nil"/>
              <w:bottom w:val="nil"/>
              <w:right w:val="single" w:sz="4" w:space="0" w:color="auto"/>
            </w:tcBorders>
          </w:tcPr>
          <w:p w:rsidR="00A47318" w:rsidRPr="007A13FE" w:rsidP="006012E0">
            <w:pPr>
              <w:jc w:val="center"/>
              <w:rPr>
                <w:szCs w:val="20"/>
              </w:rPr>
            </w:pPr>
          </w:p>
        </w:tc>
        <w:tc>
          <w:tcPr>
            <w:tcW w:w="5641" w:type="dxa"/>
            <w:tcBorders>
              <w:top w:val="single" w:sz="4" w:space="0" w:color="auto"/>
              <w:left w:val="nil"/>
              <w:bottom w:val="nil"/>
              <w:right w:val="single" w:sz="4" w:space="0" w:color="auto"/>
            </w:tcBorders>
          </w:tcPr>
          <w:p w:rsidR="00A47318" w:rsidRPr="007A13FE" w:rsidP="006012E0">
            <w:pPr>
              <w:rPr>
                <w:szCs w:val="20"/>
              </w:rPr>
            </w:pPr>
          </w:p>
        </w:tc>
      </w:tr>
      <w:tr w:rsidTr="006012E0">
        <w:tblPrEx>
          <w:tblW w:w="0" w:type="auto"/>
          <w:jc w:val="center"/>
          <w:tblLayout w:type="fixed"/>
          <w:tblLook w:val="0000"/>
        </w:tblPrEx>
        <w:trPr>
          <w:cantSplit/>
          <w:jc w:val="center"/>
        </w:trPr>
        <w:tc>
          <w:tcPr>
            <w:tcW w:w="1314" w:type="dxa"/>
            <w:tcBorders>
              <w:top w:val="nil"/>
              <w:left w:val="single" w:sz="4" w:space="0" w:color="auto"/>
              <w:bottom w:val="nil"/>
              <w:right w:val="single" w:sz="4" w:space="0" w:color="auto"/>
            </w:tcBorders>
          </w:tcPr>
          <w:p w:rsidR="00A47318" w:rsidRPr="007A13FE" w:rsidP="006012E0">
            <w:pPr>
              <w:jc w:val="center"/>
              <w:rPr>
                <w:szCs w:val="20"/>
              </w:rPr>
            </w:pPr>
          </w:p>
        </w:tc>
        <w:tc>
          <w:tcPr>
            <w:tcW w:w="1682" w:type="dxa"/>
            <w:tcBorders>
              <w:top w:val="nil"/>
              <w:left w:val="nil"/>
              <w:bottom w:val="nil"/>
              <w:right w:val="single" w:sz="4" w:space="0" w:color="auto"/>
            </w:tcBorders>
          </w:tcPr>
          <w:p w:rsidR="00A47318" w:rsidRPr="007A13FE" w:rsidP="006012E0">
            <w:pPr>
              <w:jc w:val="center"/>
              <w:rPr>
                <w:szCs w:val="20"/>
              </w:rPr>
            </w:pPr>
          </w:p>
        </w:tc>
        <w:tc>
          <w:tcPr>
            <w:tcW w:w="1911" w:type="dxa"/>
            <w:tcBorders>
              <w:top w:val="nil"/>
              <w:left w:val="nil"/>
              <w:bottom w:val="nil"/>
              <w:right w:val="single" w:sz="4" w:space="0" w:color="auto"/>
            </w:tcBorders>
          </w:tcPr>
          <w:p w:rsidR="00A47318" w:rsidRPr="007A13FE" w:rsidP="006012E0">
            <w:pPr>
              <w:jc w:val="center"/>
              <w:rPr>
                <w:szCs w:val="20"/>
              </w:rPr>
            </w:pPr>
          </w:p>
        </w:tc>
        <w:tc>
          <w:tcPr>
            <w:tcW w:w="5641" w:type="dxa"/>
            <w:tcBorders>
              <w:top w:val="nil"/>
              <w:left w:val="nil"/>
              <w:bottom w:val="nil"/>
              <w:right w:val="single" w:sz="4" w:space="0" w:color="auto"/>
            </w:tcBorders>
          </w:tcPr>
          <w:p w:rsidR="00A47318" w:rsidRPr="007A13FE" w:rsidP="006012E0">
            <w:pPr>
              <w:rPr>
                <w:szCs w:val="20"/>
              </w:rPr>
            </w:pPr>
          </w:p>
        </w:tc>
      </w:tr>
      <w:tr w:rsidTr="006012E0">
        <w:tblPrEx>
          <w:tblW w:w="0" w:type="auto"/>
          <w:jc w:val="center"/>
          <w:tblLayout w:type="fixed"/>
          <w:tblLook w:val="0000"/>
        </w:tblPrEx>
        <w:trPr>
          <w:cantSplit/>
          <w:trHeight w:val="98"/>
          <w:jc w:val="center"/>
        </w:trPr>
        <w:tc>
          <w:tcPr>
            <w:tcW w:w="1314" w:type="dxa"/>
            <w:tcBorders>
              <w:top w:val="single" w:sz="4" w:space="0" w:color="auto"/>
              <w:left w:val="single" w:sz="4" w:space="0" w:color="auto"/>
              <w:bottom w:val="nil"/>
              <w:right w:val="single" w:sz="4" w:space="0" w:color="auto"/>
            </w:tcBorders>
          </w:tcPr>
          <w:p w:rsidR="00A47318" w:rsidRPr="007A13FE" w:rsidP="006012E0">
            <w:pPr>
              <w:jc w:val="center"/>
              <w:rPr>
                <w:szCs w:val="20"/>
              </w:rPr>
            </w:pPr>
          </w:p>
        </w:tc>
        <w:tc>
          <w:tcPr>
            <w:tcW w:w="1682" w:type="dxa"/>
            <w:tcBorders>
              <w:top w:val="single" w:sz="4" w:space="0" w:color="auto"/>
              <w:left w:val="nil"/>
              <w:bottom w:val="nil"/>
              <w:right w:val="single" w:sz="4" w:space="0" w:color="auto"/>
            </w:tcBorders>
          </w:tcPr>
          <w:p w:rsidR="00A47318" w:rsidRPr="007A13FE" w:rsidP="006012E0">
            <w:pPr>
              <w:jc w:val="center"/>
              <w:rPr>
                <w:szCs w:val="20"/>
              </w:rPr>
            </w:pPr>
          </w:p>
        </w:tc>
        <w:tc>
          <w:tcPr>
            <w:tcW w:w="1911" w:type="dxa"/>
            <w:tcBorders>
              <w:top w:val="single" w:sz="4" w:space="0" w:color="auto"/>
              <w:left w:val="nil"/>
              <w:bottom w:val="nil"/>
              <w:right w:val="single" w:sz="4" w:space="0" w:color="auto"/>
            </w:tcBorders>
          </w:tcPr>
          <w:p w:rsidR="00A47318" w:rsidRPr="007A13FE" w:rsidP="006012E0">
            <w:pPr>
              <w:jc w:val="center"/>
              <w:rPr>
                <w:szCs w:val="20"/>
              </w:rPr>
            </w:pPr>
          </w:p>
        </w:tc>
        <w:tc>
          <w:tcPr>
            <w:tcW w:w="5641" w:type="dxa"/>
            <w:tcBorders>
              <w:top w:val="single" w:sz="4" w:space="0" w:color="auto"/>
              <w:left w:val="nil"/>
              <w:bottom w:val="nil"/>
              <w:right w:val="single" w:sz="4" w:space="0" w:color="auto"/>
            </w:tcBorders>
          </w:tcPr>
          <w:p w:rsidR="00A47318" w:rsidRPr="007A13FE" w:rsidP="006012E0">
            <w:pPr>
              <w:rPr>
                <w:szCs w:val="20"/>
              </w:rPr>
            </w:pPr>
          </w:p>
        </w:tc>
      </w:tr>
      <w:tr w:rsidTr="006012E0">
        <w:tblPrEx>
          <w:tblW w:w="0" w:type="auto"/>
          <w:jc w:val="center"/>
          <w:tblLayout w:type="fixed"/>
          <w:tblLook w:val="0000"/>
        </w:tblPrEx>
        <w:trPr>
          <w:cantSplit/>
          <w:jc w:val="center"/>
        </w:trPr>
        <w:tc>
          <w:tcPr>
            <w:tcW w:w="1314" w:type="dxa"/>
            <w:tcBorders>
              <w:top w:val="nil"/>
              <w:left w:val="single" w:sz="4" w:space="0" w:color="auto"/>
              <w:bottom w:val="nil"/>
              <w:right w:val="single" w:sz="4" w:space="0" w:color="auto"/>
            </w:tcBorders>
          </w:tcPr>
          <w:p w:rsidR="00A47318" w:rsidRPr="007A13FE" w:rsidP="006012E0">
            <w:pPr>
              <w:jc w:val="center"/>
              <w:rPr>
                <w:szCs w:val="20"/>
              </w:rPr>
            </w:pPr>
          </w:p>
        </w:tc>
        <w:tc>
          <w:tcPr>
            <w:tcW w:w="1682" w:type="dxa"/>
            <w:tcBorders>
              <w:top w:val="nil"/>
              <w:left w:val="nil"/>
              <w:bottom w:val="nil"/>
              <w:right w:val="single" w:sz="4" w:space="0" w:color="auto"/>
            </w:tcBorders>
          </w:tcPr>
          <w:p w:rsidR="00A47318" w:rsidRPr="007A13FE" w:rsidP="006012E0">
            <w:pPr>
              <w:jc w:val="center"/>
              <w:rPr>
                <w:szCs w:val="20"/>
              </w:rPr>
            </w:pPr>
          </w:p>
        </w:tc>
        <w:tc>
          <w:tcPr>
            <w:tcW w:w="1911" w:type="dxa"/>
            <w:tcBorders>
              <w:top w:val="nil"/>
              <w:left w:val="nil"/>
              <w:bottom w:val="nil"/>
              <w:right w:val="single" w:sz="4" w:space="0" w:color="auto"/>
            </w:tcBorders>
          </w:tcPr>
          <w:p w:rsidR="00A47318" w:rsidRPr="007A13FE" w:rsidP="006012E0">
            <w:pPr>
              <w:jc w:val="center"/>
              <w:rPr>
                <w:szCs w:val="20"/>
              </w:rPr>
            </w:pPr>
          </w:p>
        </w:tc>
        <w:tc>
          <w:tcPr>
            <w:tcW w:w="5641" w:type="dxa"/>
            <w:tcBorders>
              <w:top w:val="nil"/>
              <w:left w:val="nil"/>
              <w:bottom w:val="nil"/>
              <w:right w:val="single" w:sz="4" w:space="0" w:color="auto"/>
            </w:tcBorders>
          </w:tcPr>
          <w:p w:rsidR="00A47318"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A47318"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A47318"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A47318"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A47318"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r w:rsidTr="006012E0">
        <w:tblPrEx>
          <w:tblW w:w="0" w:type="auto"/>
          <w:jc w:val="center"/>
          <w:tblLayout w:type="fixed"/>
          <w:tblLook w:val="0000"/>
        </w:tblPrEx>
        <w:trPr>
          <w:cantSplit/>
          <w:trHeight w:val="647"/>
          <w:jc w:val="center"/>
        </w:trPr>
        <w:tc>
          <w:tcPr>
            <w:tcW w:w="1314" w:type="dxa"/>
            <w:tcBorders>
              <w:top w:val="single" w:sz="4" w:space="0" w:color="auto"/>
              <w:left w:val="single" w:sz="4" w:space="0" w:color="auto"/>
              <w:bottom w:val="single" w:sz="4" w:space="0" w:color="auto"/>
              <w:right w:val="single" w:sz="4" w:space="0" w:color="auto"/>
            </w:tcBorders>
          </w:tcPr>
          <w:p w:rsidR="00733FB3" w:rsidRPr="007A13FE" w:rsidP="006012E0">
            <w:pPr>
              <w:jc w:val="center"/>
              <w:rPr>
                <w:szCs w:val="20"/>
              </w:rPr>
            </w:pPr>
          </w:p>
        </w:tc>
        <w:tc>
          <w:tcPr>
            <w:tcW w:w="1682"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1911" w:type="dxa"/>
            <w:tcBorders>
              <w:top w:val="single" w:sz="4" w:space="0" w:color="auto"/>
              <w:left w:val="nil"/>
              <w:bottom w:val="single" w:sz="4" w:space="0" w:color="auto"/>
              <w:right w:val="single" w:sz="4" w:space="0" w:color="auto"/>
            </w:tcBorders>
          </w:tcPr>
          <w:p w:rsidR="00733FB3" w:rsidRPr="007A13FE" w:rsidP="006012E0">
            <w:pPr>
              <w:jc w:val="center"/>
              <w:rPr>
                <w:szCs w:val="20"/>
              </w:rPr>
            </w:pPr>
          </w:p>
        </w:tc>
        <w:tc>
          <w:tcPr>
            <w:tcW w:w="5641" w:type="dxa"/>
            <w:tcBorders>
              <w:top w:val="single" w:sz="4" w:space="0" w:color="auto"/>
              <w:left w:val="nil"/>
              <w:bottom w:val="single" w:sz="4" w:space="0" w:color="auto"/>
              <w:right w:val="single" w:sz="4" w:space="0" w:color="auto"/>
            </w:tcBorders>
          </w:tcPr>
          <w:p w:rsidR="00733FB3" w:rsidRPr="007A13FE" w:rsidP="006012E0">
            <w:pPr>
              <w:rPr>
                <w:szCs w:val="20"/>
              </w:rPr>
            </w:pPr>
          </w:p>
        </w:tc>
      </w:tr>
    </w:tbl>
    <w:p w:rsidR="00A47318" w:rsidP="00A47318">
      <w:pPr>
        <w:sectPr w:rsidSect="006012E0">
          <w:headerReference w:type="default" r:id="rId7"/>
          <w:footerReference w:type="default" r:id="rId8"/>
          <w:type w:val="continuous"/>
          <w:pgSz w:w="12240" w:h="15840"/>
          <w:pgMar w:top="720" w:right="720" w:bottom="720" w:left="720" w:header="720" w:footer="720" w:gutter="0"/>
          <w:cols w:space="720"/>
          <w:titlePg/>
          <w:docGrid w:linePitch="360"/>
        </w:sectPr>
      </w:pPr>
    </w:p>
    <w:p w:rsidR="00A47318" w:rsidP="00A47318">
      <w:pPr>
        <w:tabs>
          <w:tab w:val="left" w:pos="1080"/>
        </w:tabs>
        <w:ind w:left="720"/>
        <w:jc w:val="center"/>
        <w:rPr>
          <w:b/>
          <w:sz w:val="52"/>
          <w:szCs w:val="52"/>
        </w:rPr>
      </w:pPr>
    </w:p>
    <w:p w:rsidR="00A47318" w:rsidRPr="00CA793E" w:rsidP="00A47318">
      <w:pPr>
        <w:tabs>
          <w:tab w:val="left" w:pos="1080"/>
        </w:tabs>
        <w:jc w:val="center"/>
        <w:rPr>
          <w:b/>
          <w:sz w:val="52"/>
          <w:szCs w:val="52"/>
        </w:rPr>
      </w:pPr>
      <w:r w:rsidRPr="00CA793E">
        <w:rPr>
          <w:b/>
          <w:sz w:val="52"/>
          <w:szCs w:val="52"/>
        </w:rPr>
        <w:t>Appendix A</w:t>
      </w:r>
    </w:p>
    <w:p w:rsidR="00A47318" w:rsidP="00A47318">
      <w:pPr>
        <w:tabs>
          <w:tab w:val="left" w:pos="1080"/>
        </w:tabs>
        <w:jc w:val="center"/>
        <w:rPr>
          <w:noProof/>
          <w:sz w:val="48"/>
          <w:szCs w:val="48"/>
        </w:rPr>
        <w:sectPr w:rsidSect="006012E0">
          <w:headerReference w:type="first" r:id="rId9"/>
          <w:pgSz w:w="12240" w:h="15840"/>
          <w:pgMar w:top="720" w:right="720" w:bottom="720" w:left="720" w:header="720" w:footer="720" w:gutter="0"/>
          <w:cols w:space="720"/>
          <w:titlePg/>
          <w:docGrid w:linePitch="360"/>
        </w:sectPr>
      </w:pPr>
      <w:r w:rsidRPr="00CA793E">
        <w:rPr>
          <w:noProof/>
          <w:sz w:val="48"/>
          <w:szCs w:val="48"/>
        </w:rPr>
        <w:t>Hepatitis B Vaccination Acceptance and Declination Form</w:t>
      </w:r>
    </w:p>
    <w:p w:rsidR="00A47318" w:rsidRPr="00CA793E" w:rsidP="00A47318">
      <w:pPr>
        <w:pStyle w:val="Heading3"/>
        <w:rPr>
          <w:noProof/>
        </w:rPr>
      </w:pPr>
      <w:r w:rsidRPr="00CA793E">
        <w:rPr>
          <w:noProof/>
        </w:rPr>
        <w:t>Hepatitis B Vaccination Acceptance and Declination Form</w:t>
      </w:r>
    </w:p>
    <w:p w:rsidR="00A47318" w:rsidRPr="00CA793E" w:rsidP="00A47318">
      <w:pPr>
        <w:ind w:left="720"/>
      </w:pPr>
    </w:p>
    <w:p w:rsidR="00A47318" w:rsidRPr="00CA793E" w:rsidP="00A47318">
      <w:pPr>
        <w:ind w:left="720"/>
      </w:pPr>
    </w:p>
    <w:p w:rsidR="00A47318" w:rsidRPr="00CA793E" w:rsidP="00A47318">
      <w:pPr>
        <w:shd w:val="pct10" w:color="auto" w:fill="FFFFFF"/>
        <w:rPr>
          <w:b/>
        </w:rPr>
      </w:pPr>
      <w:r w:rsidRPr="00CA793E">
        <w:rPr>
          <w:b/>
        </w:rPr>
        <w:t>ACCEPTANCE STATEMENT</w:t>
      </w:r>
    </w:p>
    <w:p w:rsidR="00A47318" w:rsidP="00A47318">
      <w:r w:rsidRPr="00CA793E">
        <w:t>I understand that due to my occupational exposure to blood or other potentially infectious materials, I may be at risk of acquiring Hepatitis B virus (HBV) infection. I hereby accept the opportunity to be vaccinated with the Hepatitis B vaccine, at no charge to myself.</w:t>
      </w:r>
    </w:p>
    <w:p w:rsidR="00A47318" w:rsidRPr="00CA793E" w:rsidP="00A473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8"/>
        <w:gridCol w:w="2358"/>
      </w:tblGrid>
      <w:tr w:rsidTr="006012E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658" w:type="dxa"/>
            <w:shd w:val="clear" w:color="auto" w:fill="auto"/>
          </w:tcPr>
          <w:p w:rsidR="00A47318" w:rsidP="006012E0"/>
          <w:p w:rsidR="00A47318" w:rsidP="006012E0"/>
        </w:tc>
        <w:tc>
          <w:tcPr>
            <w:tcW w:w="2358" w:type="dxa"/>
            <w:shd w:val="clear" w:color="auto" w:fill="auto"/>
          </w:tcPr>
          <w:p w:rsidR="00A47318" w:rsidP="006012E0"/>
        </w:tc>
      </w:tr>
    </w:tbl>
    <w:p w:rsidR="00A47318" w:rsidRPr="00CA793E" w:rsidP="00A47318">
      <w:r w:rsidRPr="00CA793E">
        <w:t>Employee Signature</w:t>
      </w:r>
      <w:r w:rsidRPr="00CA793E">
        <w:tab/>
      </w:r>
      <w:r w:rsidRPr="00CA793E">
        <w:tab/>
      </w:r>
      <w:r>
        <w:t xml:space="preserve">                                  </w:t>
      </w:r>
      <w:r>
        <w:tab/>
      </w:r>
      <w:r>
        <w:tab/>
      </w:r>
      <w:r>
        <w:tab/>
      </w:r>
      <w:r>
        <w:tab/>
      </w:r>
      <w:r>
        <w:tab/>
      </w:r>
      <w:r w:rsidRPr="00CA793E">
        <w:t>Date</w:t>
      </w:r>
      <w:r w:rsidRPr="00CA793E">
        <w:tab/>
      </w:r>
    </w:p>
    <w:p w:rsidR="00A47318" w:rsidRPr="00CA793E" w:rsidP="00A47318">
      <w:pPr>
        <w:ind w:left="720"/>
      </w:pPr>
    </w:p>
    <w:p w:rsidR="00A47318" w:rsidRPr="00CA793E" w:rsidP="00A47318">
      <w:pPr>
        <w:ind w:left="720"/>
      </w:pPr>
    </w:p>
    <w:p w:rsidR="00A47318" w:rsidRPr="00CA793E" w:rsidP="00A47318">
      <w:pPr>
        <w:ind w:left="720"/>
      </w:pPr>
    </w:p>
    <w:p w:rsidR="00A47318" w:rsidRPr="00CA793E" w:rsidP="00A47318">
      <w:pPr>
        <w:shd w:val="pct10" w:color="auto" w:fill="FFFFFF"/>
        <w:rPr>
          <w:b/>
        </w:rPr>
      </w:pPr>
      <w:r w:rsidRPr="00CA793E">
        <w:rPr>
          <w:b/>
        </w:rPr>
        <w:t>DECLINATION STATEMENT</w:t>
      </w:r>
    </w:p>
    <w:p w:rsidR="00A47318" w:rsidP="00A47318">
      <w:r w:rsidRPr="00CA793E">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A47318" w:rsidRPr="00CA793E" w:rsidP="00A473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8"/>
        <w:gridCol w:w="2358"/>
      </w:tblGrid>
      <w:tr w:rsidTr="006012E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658" w:type="dxa"/>
            <w:shd w:val="clear" w:color="auto" w:fill="auto"/>
          </w:tcPr>
          <w:p w:rsidR="00A47318" w:rsidP="006012E0"/>
          <w:p w:rsidR="00A47318" w:rsidP="006012E0"/>
        </w:tc>
        <w:tc>
          <w:tcPr>
            <w:tcW w:w="2358" w:type="dxa"/>
            <w:shd w:val="clear" w:color="auto" w:fill="auto"/>
          </w:tcPr>
          <w:p w:rsidR="00A47318" w:rsidP="006012E0"/>
        </w:tc>
      </w:tr>
    </w:tbl>
    <w:p w:rsidR="00A47318" w:rsidRPr="00CA793E" w:rsidP="00A47318">
      <w:r w:rsidRPr="00CA793E">
        <w:t>Employee Signature</w:t>
      </w:r>
      <w:r w:rsidRPr="00CA793E">
        <w:tab/>
      </w:r>
      <w:r w:rsidRPr="00CA793E">
        <w:tab/>
      </w:r>
      <w:r>
        <w:t xml:space="preserve">                                       </w:t>
      </w:r>
      <w:r>
        <w:tab/>
      </w:r>
      <w:r>
        <w:tab/>
      </w:r>
      <w:r>
        <w:tab/>
      </w:r>
      <w:r>
        <w:tab/>
      </w:r>
      <w:r>
        <w:tab/>
      </w:r>
      <w:r w:rsidRPr="00CA793E">
        <w:t>Date</w:t>
      </w:r>
      <w:r w:rsidRPr="00CA793E">
        <w:tab/>
      </w:r>
    </w:p>
    <w:p w:rsidR="00A47318" w:rsidRPr="00CA793E" w:rsidP="00A47318">
      <w:pPr>
        <w:ind w:left="720"/>
      </w:pPr>
    </w:p>
    <w:p w:rsidR="00A47318" w:rsidRPr="00CA793E" w:rsidP="00A47318">
      <w:pPr>
        <w:tabs>
          <w:tab w:val="left" w:pos="1080"/>
        </w:tabs>
        <w:ind w:left="720"/>
        <w:jc w:val="center"/>
        <w:rPr>
          <w:sz w:val="48"/>
          <w:szCs w:val="48"/>
        </w:rPr>
      </w:pPr>
    </w:p>
    <w:p w:rsidR="00F953D1" w:rsidRPr="00F953D1" w:rsidP="00A47318">
      <w:pPr>
        <w:pStyle w:val="Body"/>
      </w:pPr>
    </w:p>
    <w:sectPr w:rsidSect="00A47318">
      <w:headerReference w:type="first" r:id="rId10"/>
      <w:footerReference w:type="first" r:id="rId11"/>
      <w:type w:val="continuous"/>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69A9" w:rsidRPr="00A00A41" w:rsidP="00A00A41">
    <w:pPr>
      <w:pStyle w:val="Footer"/>
    </w:pPr>
    <w:r w:rsidRPr="00A00A41">
      <w:rPr>
        <w:color w:val="5F5F5F"/>
        <w:sz w:val="16"/>
        <w:szCs w:val="16"/>
      </w:rPr>
      <w:t xml:space="preserve">This policy is merely a guideline. It is not meant to be exhaustive nor be construed as legal advice. It does not address all potential compliance issues with federal, state, local OSHA or any other regulatory agency standards. Employers should customize this document to address all of their legal and contractual obligations, and to account for requirements that are specific to their industry, line of business or project. Consult your licensed Commercial Property and Casualty representative at </w:t>
    </w:r>
    <w:r w:rsidRPr="00A00A41">
      <w:rPr>
        <w:color w:val="5F5F5F"/>
        <w:sz w:val="16"/>
        <w:szCs w:val="16"/>
      </w:rPr>
      <w:t>Corkill Insurance Agency, Inc.</w:t>
    </w:r>
    <w:r w:rsidRPr="00A00A41">
      <w:rPr>
        <w:color w:val="5F5F5F"/>
        <w:sz w:val="16"/>
        <w:szCs w:val="16"/>
      </w:rPr>
      <w:t xml:space="preserve"> or legal counsel to address possible compliance requirements. © 2005, 2011-2012 Zywave,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318" w:rsidRPr="007A13FE">
    <w:pPr>
      <w:pStyle w:val="Footer"/>
      <w:jc w:val="right"/>
      <w:rPr>
        <w:color w:val="808080"/>
        <w:szCs w:val="20"/>
      </w:rPr>
    </w:pPr>
    <w:r w:rsidRPr="007A13FE">
      <w:rPr>
        <w:color w:val="808080"/>
        <w:szCs w:val="20"/>
      </w:rPr>
      <w:fldChar w:fldCharType="begin"/>
    </w:r>
    <w:r w:rsidRPr="007A13FE">
      <w:rPr>
        <w:color w:val="808080"/>
        <w:szCs w:val="20"/>
      </w:rPr>
      <w:instrText xml:space="preserve"> PAGE   \* MERGEFORMAT </w:instrText>
    </w:r>
    <w:r w:rsidRPr="007A13FE">
      <w:rPr>
        <w:color w:val="808080"/>
        <w:szCs w:val="20"/>
      </w:rPr>
      <w:fldChar w:fldCharType="separate"/>
    </w:r>
    <w:r w:rsidR="008505E7">
      <w:rPr>
        <w:noProof/>
        <w:color w:val="808080"/>
        <w:szCs w:val="20"/>
      </w:rPr>
      <w:t>2</w:t>
    </w:r>
    <w:r w:rsidRPr="007A13FE">
      <w:rPr>
        <w:noProof/>
        <w:color w:val="80808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F0D" w:rsidRPr="004F6F0D">
    <w:pPr>
      <w:pStyle w:val="Footer"/>
      <w:jc w:val="right"/>
      <w:rPr>
        <w:color w:val="808080"/>
      </w:rPr>
    </w:pPr>
    <w:r w:rsidRPr="004F6F0D">
      <w:rPr>
        <w:color w:val="808080"/>
      </w:rPr>
      <w:fldChar w:fldCharType="begin"/>
    </w:r>
    <w:r w:rsidRPr="004F6F0D">
      <w:rPr>
        <w:color w:val="808080"/>
      </w:rPr>
      <w:instrText xml:space="preserve"> PAGE   \* MERGEFORMAT </w:instrText>
    </w:r>
    <w:r w:rsidRPr="004F6F0D">
      <w:rPr>
        <w:color w:val="808080"/>
      </w:rPr>
      <w:fldChar w:fldCharType="separate"/>
    </w:r>
    <w:r w:rsidR="00A47318">
      <w:rPr>
        <w:noProof/>
        <w:color w:val="808080"/>
      </w:rPr>
      <w:t>6</w:t>
    </w:r>
    <w:r w:rsidRPr="004F6F0D">
      <w:rPr>
        <w:noProof/>
        <w:color w:val="80808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3A4" w:rsidP="00411994">
    <w:pPr>
      <w:pStyle w:val="Header"/>
      <w:tabs>
        <w:tab w:val="left" w:pos="1290"/>
        <w:tab w:val="clear" w:pos="4680"/>
        <w:tab w:val="clear" w:pos="9360"/>
      </w:tabs>
    </w:pPr>
    <w:r>
      <w:rPr>
        <w:noProof/>
      </w:rPr>
      <w:pict>
        <v:shapetype id="_x0000_t202" coordsize="21600,21600" o:spt="202" path="m,l,21600r21600,l21600,xe">
          <v:stroke joinstyle="miter"/>
          <v:path gradientshapeok="t" o:connecttype="rect"/>
        </v:shapetype>
        <v:shape id="Text Box 2" o:spid="_x0000_s2049" type="#_x0000_t202" style="width:330.05pt;height:2in;margin-top:71.55pt;margin-left:36pt;mso-height-percent:200;mso-height-relative:margin;mso-position-horizontal-relative:page;mso-position-vertical-relative:page;mso-width-relative:margin;position:absolute;visibility:visible;z-index:251659264" filled="f" stroked="f">
          <v:textbox style="mso-fit-shape-to-text:t">
            <w:txbxContent>
              <w:p w:rsidR="00084D79" w:rsidRPr="007A13FE" w:rsidP="00084D79">
                <w:pPr>
                  <w:pStyle w:val="Heading1"/>
                  <w:spacing w:before="0" w:line="216" w:lineRule="auto"/>
                  <w:rPr>
                    <w:color w:val="FFFFFF"/>
                    <w:sz w:val="36"/>
                    <w:szCs w:val="36"/>
                  </w:rPr>
                </w:pPr>
                <w:r>
                  <w:rPr>
                    <w:color w:val="FFFFFF"/>
                    <w:sz w:val="36"/>
                    <w:szCs w:val="36"/>
                  </w:rPr>
                  <w:t xml:space="preserve">Bloodborne Pathogens </w:t>
                </w:r>
                <w:r w:rsidRPr="007A13FE">
                  <w:rPr>
                    <w:color w:val="FFFFFF"/>
                    <w:sz w:val="36"/>
                    <w:szCs w:val="36"/>
                  </w:rPr>
                  <w:t>Program</w:t>
                </w:r>
              </w:p>
            </w:txbxContent>
          </v:textbox>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Description: C:\Users\kempen\Desktop\page 2 header.jpg" style="width:541.45pt;height:104.4pt;margin-top:54pt;margin-left:36pt;mso-position-horizontal-relative:page;mso-position-vertical-relative:page;position:absolute;visibility:visible;z-index:-251658240">
          <v:imagedata r:id="rId1" o:title="page 2 header"/>
        </v:shape>
      </w:pict>
    </w:r>
    <w:r w:rsidR="002E23A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318" w:rsidP="006012E0">
    <w:pPr>
      <w:pStyle w:val="Header"/>
      <w:tabs>
        <w:tab w:val="left" w:pos="1290"/>
        <w:tab w:val="clear" w:pos="4680"/>
        <w:tab w:val="clear" w:pos="936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C3E" w:rsidP="00411994">
    <w:pPr>
      <w:pStyle w:val="Header"/>
      <w:tabs>
        <w:tab w:val="left" w:pos="1290"/>
        <w:tab w:val="clear" w:pos="4680"/>
        <w:tab w:val="clear"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46D265D0"/>
    <w:lvl w:ilvl="0">
      <w:start w:val="1"/>
      <w:numFmt w:val="decimal"/>
      <w:pStyle w:val="ListNumber"/>
      <w:lvlText w:val="%1."/>
      <w:lvlJc w:val="left"/>
      <w:pPr>
        <w:tabs>
          <w:tab w:val="num" w:pos="360"/>
        </w:tabs>
        <w:ind w:left="360" w:hanging="360"/>
      </w:pPr>
    </w:lvl>
  </w:abstractNum>
  <w:abstractNum w:abstractNumId="1">
    <w:nsid w:val="FFFFFF89"/>
    <w:multiLevelType w:val="singleLevel"/>
    <w:tmpl w:val="6EC4D6A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A6B080E"/>
    <w:multiLevelType w:val="hybridMultilevel"/>
    <w:tmpl w:val="689CC0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181D31"/>
    <w:multiLevelType w:val="hybridMultilevel"/>
    <w:tmpl w:val="41ACE458"/>
    <w:lvl w:ilvl="0">
      <w:start w:val="1"/>
      <w:numFmt w:val="decimal"/>
      <w:pStyle w:val="Heading2"/>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D347735"/>
    <w:multiLevelType w:val="hybridMultilevel"/>
    <w:tmpl w:val="119ABA0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2CF20B8"/>
    <w:multiLevelType w:val="hybridMultilevel"/>
    <w:tmpl w:val="3CFE62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82C54B2"/>
    <w:multiLevelType w:val="hybridMultilevel"/>
    <w:tmpl w:val="CC488A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9CD39A7"/>
    <w:multiLevelType w:val="hybridMultilevel"/>
    <w:tmpl w:val="19DC58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C0D08E8"/>
    <w:multiLevelType w:val="hybridMultilevel"/>
    <w:tmpl w:val="C2F4A2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FFA209F"/>
    <w:multiLevelType w:val="hybridMultilevel"/>
    <w:tmpl w:val="67C4431E"/>
    <w:lvl w:ilvl="0">
      <w:start w:val="1"/>
      <w:numFmt w:val="bullet"/>
      <w:pStyle w:val="NoSpac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A1B40F4"/>
    <w:multiLevelType w:val="hybridMultilevel"/>
    <w:tmpl w:val="FEDE21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3"/>
  </w:num>
  <w:num w:numId="5">
    <w:abstractNumId w:val="6"/>
  </w:num>
  <w:num w:numId="6">
    <w:abstractNumId w:val="4"/>
  </w:num>
  <w:num w:numId="7">
    <w:abstractNumId w:val="2"/>
  </w:num>
  <w:num w:numId="8">
    <w:abstractNumId w:val="5"/>
  </w:num>
  <w:num w:numId="9">
    <w:abstractNumId w:val="7"/>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C7"/>
    <w:rsid w:val="00005D3E"/>
    <w:rsid w:val="00031D6F"/>
    <w:rsid w:val="0004086A"/>
    <w:rsid w:val="00051338"/>
    <w:rsid w:val="0006126C"/>
    <w:rsid w:val="0007170B"/>
    <w:rsid w:val="00084D79"/>
    <w:rsid w:val="000D47AC"/>
    <w:rsid w:val="000F5D07"/>
    <w:rsid w:val="00124FB3"/>
    <w:rsid w:val="001761B4"/>
    <w:rsid w:val="0017795C"/>
    <w:rsid w:val="001A50F5"/>
    <w:rsid w:val="001C215D"/>
    <w:rsid w:val="00203FDA"/>
    <w:rsid w:val="00213623"/>
    <w:rsid w:val="00255ADD"/>
    <w:rsid w:val="00285CBC"/>
    <w:rsid w:val="00293A56"/>
    <w:rsid w:val="002B100A"/>
    <w:rsid w:val="002E23A4"/>
    <w:rsid w:val="003052D6"/>
    <w:rsid w:val="00315C2E"/>
    <w:rsid w:val="003D0232"/>
    <w:rsid w:val="003E3CB8"/>
    <w:rsid w:val="003F44FA"/>
    <w:rsid w:val="00400112"/>
    <w:rsid w:val="00411994"/>
    <w:rsid w:val="0045288D"/>
    <w:rsid w:val="004F6F0D"/>
    <w:rsid w:val="00521D91"/>
    <w:rsid w:val="005336E3"/>
    <w:rsid w:val="00552998"/>
    <w:rsid w:val="005C2FD2"/>
    <w:rsid w:val="005E47C7"/>
    <w:rsid w:val="006012E0"/>
    <w:rsid w:val="0063712A"/>
    <w:rsid w:val="006407B8"/>
    <w:rsid w:val="00654105"/>
    <w:rsid w:val="006909F3"/>
    <w:rsid w:val="00692B4A"/>
    <w:rsid w:val="006A0E55"/>
    <w:rsid w:val="006A3074"/>
    <w:rsid w:val="006D2655"/>
    <w:rsid w:val="006D3520"/>
    <w:rsid w:val="006D4F2A"/>
    <w:rsid w:val="007101A2"/>
    <w:rsid w:val="00733FB3"/>
    <w:rsid w:val="00761B49"/>
    <w:rsid w:val="00786B29"/>
    <w:rsid w:val="007920FA"/>
    <w:rsid w:val="0079700A"/>
    <w:rsid w:val="007A13FE"/>
    <w:rsid w:val="007D046B"/>
    <w:rsid w:val="00822CEE"/>
    <w:rsid w:val="00832E83"/>
    <w:rsid w:val="008505E7"/>
    <w:rsid w:val="008569A9"/>
    <w:rsid w:val="00896FD1"/>
    <w:rsid w:val="00983250"/>
    <w:rsid w:val="009A68D7"/>
    <w:rsid w:val="009B1A9D"/>
    <w:rsid w:val="009F0483"/>
    <w:rsid w:val="009F5BCA"/>
    <w:rsid w:val="00A00A41"/>
    <w:rsid w:val="00A1625D"/>
    <w:rsid w:val="00A47318"/>
    <w:rsid w:val="00A50F9F"/>
    <w:rsid w:val="00A7071B"/>
    <w:rsid w:val="00A71464"/>
    <w:rsid w:val="00A86954"/>
    <w:rsid w:val="00AD3C3E"/>
    <w:rsid w:val="00B05728"/>
    <w:rsid w:val="00B06C91"/>
    <w:rsid w:val="00B15589"/>
    <w:rsid w:val="00B65F36"/>
    <w:rsid w:val="00C003D8"/>
    <w:rsid w:val="00C00509"/>
    <w:rsid w:val="00C14A0E"/>
    <w:rsid w:val="00CA793E"/>
    <w:rsid w:val="00CC3990"/>
    <w:rsid w:val="00D07E06"/>
    <w:rsid w:val="00D3180B"/>
    <w:rsid w:val="00D55C8E"/>
    <w:rsid w:val="00D83540"/>
    <w:rsid w:val="00E0411A"/>
    <w:rsid w:val="00E16B0B"/>
    <w:rsid w:val="00E50807"/>
    <w:rsid w:val="00EB3529"/>
    <w:rsid w:val="00F953D1"/>
    <w:rsid w:val="00FC3FC7"/>
    <w:rsid w:val="00FE57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78A34C8-4604-498D-B7D3-DAE7D3F5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83"/>
    <w:pPr>
      <w:spacing w:after="120"/>
    </w:pPr>
    <w:rPr>
      <w:rFonts w:ascii="Verdana" w:hAnsi="Verdana"/>
      <w:szCs w:val="22"/>
    </w:rPr>
  </w:style>
  <w:style w:type="paragraph" w:styleId="Heading1">
    <w:name w:val="heading 1"/>
    <w:basedOn w:val="Normal"/>
    <w:next w:val="Normal"/>
    <w:link w:val="Heading1Char"/>
    <w:uiPriority w:val="9"/>
    <w:qFormat/>
    <w:rsid w:val="006909F3"/>
    <w:pPr>
      <w:keepNext/>
      <w:keepLines/>
      <w:spacing w:before="240" w:after="60"/>
      <w:outlineLvl w:val="0"/>
    </w:pPr>
    <w:rPr>
      <w:rFonts w:eastAsia="Times New Roman"/>
      <w:b/>
      <w:bCs/>
      <w:szCs w:val="28"/>
    </w:rPr>
  </w:style>
  <w:style w:type="paragraph" w:styleId="Heading2">
    <w:name w:val="heading 2"/>
    <w:aliases w:val="Numbered List"/>
    <w:basedOn w:val="ListBullet"/>
    <w:next w:val="Normal"/>
    <w:link w:val="Heading2Char"/>
    <w:uiPriority w:val="9"/>
    <w:unhideWhenUsed/>
    <w:rsid w:val="0017795C"/>
    <w:pPr>
      <w:keepNext/>
      <w:keepLines/>
      <w:numPr>
        <w:numId w:val="4"/>
      </w:numPr>
      <w:contextualSpacing w:val="0"/>
      <w:outlineLvl w:val="1"/>
    </w:pPr>
    <w:rPr>
      <w:rFonts w:eastAsia="Times New Roman"/>
      <w:bCs/>
      <w:szCs w:val="26"/>
    </w:rPr>
  </w:style>
  <w:style w:type="paragraph" w:styleId="Heading3">
    <w:name w:val="heading 3"/>
    <w:aliases w:val="Main Heading"/>
    <w:basedOn w:val="Normal"/>
    <w:next w:val="Normal"/>
    <w:link w:val="Heading3Char"/>
    <w:uiPriority w:val="9"/>
    <w:unhideWhenUsed/>
    <w:qFormat/>
    <w:rsid w:val="00832E83"/>
    <w:pPr>
      <w:keepNext/>
      <w:keepLines/>
      <w:spacing w:before="240" w:after="60"/>
      <w:outlineLvl w:val="2"/>
    </w:pPr>
    <w:rPr>
      <w:rFonts w:eastAsia="Times New Roman"/>
      <w:b/>
      <w:bCs/>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1994"/>
    <w:pPr>
      <w:tabs>
        <w:tab w:val="center" w:pos="4680"/>
        <w:tab w:val="right" w:pos="9360"/>
      </w:tabs>
      <w:spacing w:after="0"/>
    </w:pPr>
  </w:style>
  <w:style w:type="character" w:customStyle="1" w:styleId="HeaderChar">
    <w:name w:val="Header Char"/>
    <w:basedOn w:val="DefaultParagraphFont"/>
    <w:link w:val="Header"/>
    <w:uiPriority w:val="99"/>
    <w:rsid w:val="00411994"/>
  </w:style>
  <w:style w:type="paragraph" w:styleId="Footer">
    <w:name w:val="footer"/>
    <w:basedOn w:val="Normal"/>
    <w:link w:val="FooterChar"/>
    <w:uiPriority w:val="99"/>
    <w:unhideWhenUsed/>
    <w:rsid w:val="00411994"/>
    <w:pPr>
      <w:tabs>
        <w:tab w:val="center" w:pos="4680"/>
        <w:tab w:val="right" w:pos="9360"/>
      </w:tabs>
      <w:spacing w:after="0"/>
    </w:pPr>
  </w:style>
  <w:style w:type="character" w:customStyle="1" w:styleId="FooterChar">
    <w:name w:val="Footer Char"/>
    <w:basedOn w:val="DefaultParagraphFont"/>
    <w:link w:val="Footer"/>
    <w:uiPriority w:val="99"/>
    <w:rsid w:val="00411994"/>
  </w:style>
  <w:style w:type="paragraph" w:styleId="BalloonText">
    <w:name w:val="Balloon Text"/>
    <w:basedOn w:val="Normal"/>
    <w:link w:val="BalloonTextChar"/>
    <w:uiPriority w:val="99"/>
    <w:semiHidden/>
    <w:unhideWhenUsed/>
    <w:rsid w:val="00411994"/>
    <w:pPr>
      <w:spacing w:after="0"/>
    </w:pPr>
    <w:rPr>
      <w:rFonts w:ascii="Tahoma" w:hAnsi="Tahoma" w:cs="Tahoma"/>
      <w:sz w:val="16"/>
      <w:szCs w:val="16"/>
    </w:rPr>
  </w:style>
  <w:style w:type="character" w:customStyle="1" w:styleId="BalloonTextChar">
    <w:name w:val="Balloon Text Char"/>
    <w:link w:val="BalloonText"/>
    <w:uiPriority w:val="99"/>
    <w:semiHidden/>
    <w:rsid w:val="00411994"/>
    <w:rPr>
      <w:rFonts w:ascii="Tahoma" w:hAnsi="Tahoma" w:cs="Tahoma"/>
      <w:sz w:val="16"/>
      <w:szCs w:val="16"/>
    </w:rPr>
  </w:style>
  <w:style w:type="character" w:customStyle="1" w:styleId="Heading1Char">
    <w:name w:val="Heading 1 Char"/>
    <w:link w:val="Heading1"/>
    <w:uiPriority w:val="9"/>
    <w:rsid w:val="006909F3"/>
    <w:rPr>
      <w:rFonts w:ascii="Verdana" w:eastAsia="Times New Roman" w:hAnsi="Verdana" w:cs="Times New Roman"/>
      <w:b/>
      <w:bCs/>
      <w:sz w:val="20"/>
      <w:szCs w:val="28"/>
    </w:rPr>
  </w:style>
  <w:style w:type="character" w:customStyle="1" w:styleId="Heading3Char">
    <w:name w:val="Heading 3 Char"/>
    <w:aliases w:val="Main Heading Char"/>
    <w:link w:val="Heading3"/>
    <w:uiPriority w:val="9"/>
    <w:rsid w:val="00832E83"/>
    <w:rPr>
      <w:rFonts w:ascii="Verdana" w:eastAsia="Times New Roman" w:hAnsi="Verdana" w:cs="Times New Roman"/>
      <w:b/>
      <w:bCs/>
      <w:color w:val="808080"/>
      <w:sz w:val="24"/>
    </w:rPr>
  </w:style>
  <w:style w:type="character" w:customStyle="1" w:styleId="Heading2Char">
    <w:name w:val="Heading 2 Char"/>
    <w:aliases w:val="Numbered List Char"/>
    <w:link w:val="Heading2"/>
    <w:uiPriority w:val="9"/>
    <w:rsid w:val="0017795C"/>
    <w:rPr>
      <w:rFonts w:ascii="Verdana" w:eastAsia="Times New Roman" w:hAnsi="Verdana"/>
      <w:bCs/>
      <w:szCs w:val="26"/>
    </w:rPr>
  </w:style>
  <w:style w:type="character" w:styleId="Hyperlink">
    <w:name w:val="Hyperlink"/>
    <w:uiPriority w:val="99"/>
    <w:unhideWhenUsed/>
    <w:rsid w:val="006D2655"/>
    <w:rPr>
      <w:color w:val="0000FF"/>
      <w:u w:val="single"/>
    </w:rPr>
  </w:style>
  <w:style w:type="paragraph" w:styleId="TOC1">
    <w:name w:val="toc 1"/>
    <w:basedOn w:val="Normal"/>
    <w:next w:val="Normal"/>
    <w:autoRedefine/>
    <w:uiPriority w:val="39"/>
    <w:unhideWhenUsed/>
    <w:rsid w:val="006D2655"/>
    <w:pPr>
      <w:spacing w:after="240"/>
    </w:pPr>
    <w:rPr>
      <w:b/>
      <w:bCs/>
      <w:color w:val="808080"/>
      <w:szCs w:val="20"/>
    </w:rPr>
  </w:style>
  <w:style w:type="paragraph" w:styleId="TOCHeading">
    <w:name w:val="TOC Heading"/>
    <w:basedOn w:val="Heading1"/>
    <w:next w:val="Normal"/>
    <w:uiPriority w:val="39"/>
    <w:unhideWhenUsed/>
    <w:qFormat/>
    <w:rsid w:val="006D2655"/>
    <w:pPr>
      <w:outlineLvl w:val="9"/>
    </w:pPr>
    <w:rPr>
      <w:lang w:eastAsia="ja-JP"/>
    </w:rPr>
  </w:style>
  <w:style w:type="paragraph" w:styleId="TOC2">
    <w:name w:val="toc 2"/>
    <w:basedOn w:val="Normal"/>
    <w:next w:val="Normal"/>
    <w:autoRedefine/>
    <w:uiPriority w:val="39"/>
    <w:semiHidden/>
    <w:unhideWhenUsed/>
    <w:qFormat/>
    <w:rsid w:val="006D2655"/>
    <w:pPr>
      <w:spacing w:after="100"/>
      <w:ind w:left="220"/>
    </w:pPr>
    <w:rPr>
      <w:rFonts w:eastAsia="Times New Roman"/>
      <w:lang w:eastAsia="ja-JP"/>
    </w:rPr>
  </w:style>
  <w:style w:type="paragraph" w:styleId="TOC3">
    <w:name w:val="toc 3"/>
    <w:basedOn w:val="Normal"/>
    <w:next w:val="Normal"/>
    <w:autoRedefine/>
    <w:uiPriority w:val="39"/>
    <w:semiHidden/>
    <w:unhideWhenUsed/>
    <w:qFormat/>
    <w:rsid w:val="006D2655"/>
    <w:pPr>
      <w:spacing w:after="100"/>
      <w:ind w:left="440"/>
    </w:pPr>
    <w:rPr>
      <w:rFonts w:eastAsia="Times New Roman"/>
      <w:lang w:eastAsia="ja-JP"/>
    </w:rPr>
  </w:style>
  <w:style w:type="paragraph" w:styleId="ListParagraph">
    <w:name w:val="List Paragraph"/>
    <w:basedOn w:val="Normal"/>
    <w:uiPriority w:val="34"/>
    <w:rsid w:val="00761B49"/>
    <w:pPr>
      <w:ind w:left="720"/>
      <w:contextualSpacing/>
    </w:pPr>
  </w:style>
  <w:style w:type="paragraph" w:styleId="Quote">
    <w:name w:val="Quote"/>
    <w:next w:val="Normal"/>
    <w:link w:val="QuoteChar"/>
    <w:uiPriority w:val="29"/>
    <w:rsid w:val="00D55C8E"/>
    <w:rPr>
      <w:rFonts w:ascii="Arial" w:eastAsia="Times New Roman" w:hAnsi="Arial"/>
      <w:iCs/>
      <w:szCs w:val="24"/>
    </w:rPr>
  </w:style>
  <w:style w:type="character" w:customStyle="1" w:styleId="QuoteChar">
    <w:name w:val="Quote Char"/>
    <w:link w:val="Quote"/>
    <w:uiPriority w:val="29"/>
    <w:rsid w:val="00D55C8E"/>
    <w:rPr>
      <w:rFonts w:ascii="Arial" w:eastAsia="Times New Roman" w:hAnsi="Arial" w:cs="Times New Roman"/>
      <w:iCs/>
      <w:sz w:val="20"/>
      <w:szCs w:val="24"/>
    </w:rPr>
  </w:style>
  <w:style w:type="paragraph" w:customStyle="1" w:styleId="QuoteHeading">
    <w:name w:val="Quote Heading"/>
    <w:basedOn w:val="Quote"/>
    <w:link w:val="QuoteHeadingChar"/>
    <w:rsid w:val="00D55C8E"/>
    <w:pPr>
      <w:spacing w:after="160"/>
    </w:pPr>
    <w:rPr>
      <w:b/>
      <w:sz w:val="24"/>
      <w:szCs w:val="28"/>
    </w:rPr>
  </w:style>
  <w:style w:type="character" w:customStyle="1" w:styleId="QuoteHeadingChar">
    <w:name w:val="Quote Heading Char"/>
    <w:link w:val="QuoteHeading"/>
    <w:rsid w:val="00D55C8E"/>
    <w:rPr>
      <w:rFonts w:ascii="Arial" w:eastAsia="Times New Roman" w:hAnsi="Arial" w:cs="Times New Roman"/>
      <w:b/>
      <w:iCs/>
      <w:sz w:val="24"/>
      <w:szCs w:val="28"/>
    </w:rPr>
  </w:style>
  <w:style w:type="paragraph" w:customStyle="1" w:styleId="Body">
    <w:name w:val="Body"/>
    <w:basedOn w:val="Normal"/>
    <w:link w:val="BodyChar"/>
    <w:rsid w:val="00832E83"/>
    <w:rPr>
      <w:rFonts w:eastAsia="Times New Roman"/>
      <w:color w:val="000000"/>
      <w:szCs w:val="20"/>
    </w:rPr>
  </w:style>
  <w:style w:type="character" w:customStyle="1" w:styleId="BodyChar">
    <w:name w:val="Body Char"/>
    <w:link w:val="Body"/>
    <w:rsid w:val="00832E83"/>
    <w:rPr>
      <w:rFonts w:ascii="Verdana" w:eastAsia="Times New Roman" w:hAnsi="Verdana" w:cs="Times New Roman"/>
      <w:color w:val="000000"/>
      <w:sz w:val="20"/>
      <w:szCs w:val="20"/>
    </w:rPr>
  </w:style>
  <w:style w:type="paragraph" w:styleId="NoSpacing">
    <w:name w:val="No Spacing"/>
    <w:basedOn w:val="ListBullet"/>
    <w:uiPriority w:val="1"/>
    <w:qFormat/>
    <w:rsid w:val="006909F3"/>
    <w:pPr>
      <w:numPr>
        <w:numId w:val="2"/>
      </w:numPr>
      <w:contextualSpacing w:val="0"/>
    </w:pPr>
  </w:style>
  <w:style w:type="paragraph" w:styleId="ListNumber">
    <w:name w:val="List Number"/>
    <w:basedOn w:val="Normal"/>
    <w:uiPriority w:val="99"/>
    <w:semiHidden/>
    <w:unhideWhenUsed/>
    <w:rsid w:val="00832E83"/>
    <w:pPr>
      <w:numPr>
        <w:numId w:val="3"/>
      </w:numPr>
      <w:contextualSpacing/>
    </w:pPr>
  </w:style>
  <w:style w:type="paragraph" w:styleId="ListBullet">
    <w:name w:val="List Bullet"/>
    <w:basedOn w:val="Normal"/>
    <w:uiPriority w:val="99"/>
    <w:semiHidden/>
    <w:unhideWhenUsed/>
    <w:rsid w:val="006909F3"/>
    <w:pPr>
      <w:numPr>
        <w:numId w:val="1"/>
      </w:numPr>
      <w:contextualSpacing/>
    </w:pPr>
  </w:style>
  <w:style w:type="table" w:styleId="TableGrid">
    <w:name w:val="Table Grid"/>
    <w:basedOn w:val="TableNormal"/>
    <w:uiPriority w:val="59"/>
    <w:rsid w:val="0079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reative%20Services\Broker%20Briefcase\MASTER%20TEMPLATES\PC%20Content\OSHA%20Programs\Program%20and%20Training%20Material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1BE3-4B52-406E-966A-C61CCAE9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and Training Materials</Template>
  <TotalTime>0</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Kempen</dc:creator>
  <cp:lastModifiedBy>Amado, Juan</cp:lastModifiedBy>
  <cp:revision>2</cp:revision>
  <cp:lastPrinted>2011-09-26T20:31:00Z</cp:lastPrinted>
  <dcterms:created xsi:type="dcterms:W3CDTF">2017-09-06T15:13:00Z</dcterms:created>
  <dcterms:modified xsi:type="dcterms:W3CDTF">2017-09-06T15:13:00Z</dcterms:modified>
</cp:coreProperties>
</file>